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698F" w14:textId="1FB241BE" w:rsidR="00813FCB" w:rsidRPr="00813FCB" w:rsidRDefault="00813FCB" w:rsidP="00DB5758">
      <w:pPr>
        <w:jc w:val="center"/>
        <w:rPr>
          <w:b/>
          <w:bCs/>
          <w:sz w:val="24"/>
          <w:szCs w:val="24"/>
        </w:rPr>
      </w:pPr>
      <w:r w:rsidRPr="00813FCB">
        <w:rPr>
          <w:b/>
          <w:bCs/>
          <w:sz w:val="24"/>
          <w:szCs w:val="24"/>
        </w:rPr>
        <w:t>The State of Statements in Singapore’s Legal System</w:t>
      </w:r>
    </w:p>
    <w:p w14:paraId="28909FAD" w14:textId="4170593A" w:rsidR="00DB5758" w:rsidRDefault="009E586A" w:rsidP="00A43220">
      <w:pPr>
        <w:jc w:val="center"/>
        <w:rPr>
          <w:rStyle w:val="FootnoteReference"/>
          <w:b/>
          <w:bCs/>
        </w:rPr>
      </w:pPr>
      <w:r w:rsidRPr="006F5AAB">
        <w:rPr>
          <w:b/>
          <w:bCs/>
        </w:rPr>
        <w:t>Bill Puah Ee Jie</w:t>
      </w:r>
      <w:r w:rsidRPr="006F5AAB">
        <w:rPr>
          <w:rStyle w:val="FootnoteReference"/>
          <w:b/>
          <w:bCs/>
        </w:rPr>
        <w:footnoteReference w:customMarkFollows="1" w:id="2"/>
        <w:t>*</w:t>
      </w:r>
    </w:p>
    <w:p w14:paraId="0E1BEAC7" w14:textId="77777777" w:rsidR="00223633" w:rsidRDefault="00223633" w:rsidP="00A43220">
      <w:pPr>
        <w:jc w:val="center"/>
      </w:pPr>
    </w:p>
    <w:p w14:paraId="22DF3E81" w14:textId="4BDC5DE6" w:rsidR="0060121E" w:rsidRPr="00C04B5F" w:rsidRDefault="00E17EC8" w:rsidP="000C2492">
      <w:pPr>
        <w:pStyle w:val="Heading1"/>
        <w:jc w:val="both"/>
        <w:rPr>
          <w:rFonts w:cs="Times New Roman"/>
          <w:sz w:val="24"/>
          <w:szCs w:val="24"/>
        </w:rPr>
      </w:pPr>
      <w:r w:rsidRPr="000C2492">
        <w:rPr>
          <w:rFonts w:cs="Times New Roman"/>
          <w:sz w:val="24"/>
          <w:szCs w:val="24"/>
        </w:rPr>
        <w:t>Introduction</w:t>
      </w:r>
    </w:p>
    <w:p w14:paraId="7E47A94A" w14:textId="77777777" w:rsidR="00141CB7" w:rsidRDefault="00B65817" w:rsidP="000C2492">
      <w:pPr>
        <w:jc w:val="both"/>
        <w:rPr>
          <w:rFonts w:ascii="Times New Roman" w:hAnsi="Times New Roman" w:cs="Times New Roman"/>
          <w:sz w:val="24"/>
          <w:szCs w:val="24"/>
        </w:rPr>
      </w:pPr>
      <w:r w:rsidRPr="000C2492">
        <w:rPr>
          <w:rFonts w:ascii="Times New Roman" w:hAnsi="Times New Roman" w:cs="Times New Roman"/>
          <w:sz w:val="24"/>
          <w:szCs w:val="24"/>
        </w:rPr>
        <w:t xml:space="preserve">During </w:t>
      </w:r>
      <w:r w:rsidR="00C04B5F">
        <w:rPr>
          <w:rFonts w:ascii="Times New Roman" w:hAnsi="Times New Roman" w:cs="Times New Roman"/>
          <w:sz w:val="24"/>
          <w:szCs w:val="24"/>
        </w:rPr>
        <w:t xml:space="preserve">the </w:t>
      </w:r>
      <w:r w:rsidRPr="000C2492">
        <w:rPr>
          <w:rFonts w:ascii="Times New Roman" w:hAnsi="Times New Roman" w:cs="Times New Roman"/>
          <w:sz w:val="24"/>
          <w:szCs w:val="24"/>
        </w:rPr>
        <w:t xml:space="preserve">investigations </w:t>
      </w:r>
      <w:r w:rsidR="002B112B" w:rsidRPr="000C2492">
        <w:rPr>
          <w:rFonts w:ascii="Times New Roman" w:hAnsi="Times New Roman" w:cs="Times New Roman"/>
          <w:sz w:val="24"/>
          <w:szCs w:val="24"/>
        </w:rPr>
        <w:t>of crimes</w:t>
      </w:r>
      <w:r w:rsidRPr="000C2492">
        <w:rPr>
          <w:rFonts w:ascii="Times New Roman" w:hAnsi="Times New Roman" w:cs="Times New Roman"/>
          <w:sz w:val="24"/>
          <w:szCs w:val="24"/>
        </w:rPr>
        <w:t xml:space="preserve">, </w:t>
      </w:r>
      <w:r w:rsidR="000C38CD" w:rsidRPr="000C2492">
        <w:rPr>
          <w:rFonts w:ascii="Times New Roman" w:hAnsi="Times New Roman" w:cs="Times New Roman"/>
          <w:sz w:val="24"/>
          <w:szCs w:val="24"/>
        </w:rPr>
        <w:t xml:space="preserve">numerous </w:t>
      </w:r>
      <w:r w:rsidRPr="000C2492">
        <w:rPr>
          <w:rFonts w:ascii="Times New Roman" w:hAnsi="Times New Roman" w:cs="Times New Roman"/>
          <w:sz w:val="24"/>
          <w:szCs w:val="24"/>
        </w:rPr>
        <w:t xml:space="preserve">statements </w:t>
      </w:r>
      <w:r w:rsidR="007131EE" w:rsidRPr="000C2492">
        <w:rPr>
          <w:rFonts w:ascii="Times New Roman" w:hAnsi="Times New Roman" w:cs="Times New Roman"/>
          <w:sz w:val="24"/>
          <w:szCs w:val="24"/>
        </w:rPr>
        <w:t xml:space="preserve">are often </w:t>
      </w:r>
      <w:r w:rsidRPr="000C2492">
        <w:rPr>
          <w:rFonts w:ascii="Times New Roman" w:hAnsi="Times New Roman" w:cs="Times New Roman"/>
          <w:sz w:val="24"/>
          <w:szCs w:val="24"/>
        </w:rPr>
        <w:t>recorded</w:t>
      </w:r>
      <w:r w:rsidR="002B112B" w:rsidRPr="000C2492">
        <w:rPr>
          <w:rFonts w:ascii="Times New Roman" w:hAnsi="Times New Roman" w:cs="Times New Roman"/>
          <w:sz w:val="24"/>
          <w:szCs w:val="24"/>
        </w:rPr>
        <w:t xml:space="preserve"> by the police</w:t>
      </w:r>
      <w:r w:rsidRPr="000C2492">
        <w:rPr>
          <w:rFonts w:ascii="Times New Roman" w:hAnsi="Times New Roman" w:cs="Times New Roman"/>
          <w:sz w:val="24"/>
          <w:szCs w:val="24"/>
        </w:rPr>
        <w:t xml:space="preserve">. </w:t>
      </w:r>
      <w:r w:rsidR="00DD717D">
        <w:rPr>
          <w:rFonts w:ascii="Times New Roman" w:hAnsi="Times New Roman" w:cs="Times New Roman"/>
          <w:sz w:val="24"/>
          <w:szCs w:val="24"/>
        </w:rPr>
        <w:t>D</w:t>
      </w:r>
      <w:r w:rsidR="00496776" w:rsidRPr="000C2492">
        <w:rPr>
          <w:rFonts w:ascii="Times New Roman" w:hAnsi="Times New Roman" w:cs="Times New Roman"/>
          <w:sz w:val="24"/>
          <w:szCs w:val="24"/>
        </w:rPr>
        <w:t>ifferent types of statements</w:t>
      </w:r>
      <w:r w:rsidR="0070069B">
        <w:rPr>
          <w:rFonts w:ascii="Times New Roman" w:hAnsi="Times New Roman" w:cs="Times New Roman"/>
          <w:sz w:val="24"/>
          <w:szCs w:val="24"/>
        </w:rPr>
        <w:t xml:space="preserve"> </w:t>
      </w:r>
      <w:r w:rsidR="00496776" w:rsidRPr="000C2492">
        <w:rPr>
          <w:rFonts w:ascii="Times New Roman" w:hAnsi="Times New Roman" w:cs="Times New Roman"/>
          <w:sz w:val="24"/>
          <w:szCs w:val="24"/>
        </w:rPr>
        <w:t xml:space="preserve">might </w:t>
      </w:r>
      <w:r w:rsidR="00274DD5">
        <w:rPr>
          <w:rFonts w:ascii="Times New Roman" w:hAnsi="Times New Roman" w:cs="Times New Roman"/>
          <w:sz w:val="24"/>
          <w:szCs w:val="24"/>
        </w:rPr>
        <w:t xml:space="preserve">also </w:t>
      </w:r>
      <w:r w:rsidR="00496776" w:rsidRPr="000C2492">
        <w:rPr>
          <w:rFonts w:ascii="Times New Roman" w:hAnsi="Times New Roman" w:cs="Times New Roman"/>
          <w:sz w:val="24"/>
          <w:szCs w:val="24"/>
        </w:rPr>
        <w:t>be taken at different times</w:t>
      </w:r>
      <w:r w:rsidR="00101983" w:rsidRPr="000C2492">
        <w:rPr>
          <w:rFonts w:ascii="Times New Roman" w:hAnsi="Times New Roman" w:cs="Times New Roman"/>
          <w:sz w:val="24"/>
          <w:szCs w:val="24"/>
        </w:rPr>
        <w:t>.</w:t>
      </w:r>
      <w:r w:rsidR="00496776" w:rsidRPr="000C2492">
        <w:rPr>
          <w:rFonts w:ascii="Times New Roman" w:hAnsi="Times New Roman" w:cs="Times New Roman"/>
          <w:sz w:val="24"/>
          <w:szCs w:val="24"/>
        </w:rPr>
        <w:t xml:space="preserve"> </w:t>
      </w:r>
      <w:r w:rsidR="00717120">
        <w:rPr>
          <w:rFonts w:ascii="Times New Roman" w:hAnsi="Times New Roman" w:cs="Times New Roman"/>
          <w:sz w:val="24"/>
          <w:szCs w:val="24"/>
        </w:rPr>
        <w:t>Unfortunately, t</w:t>
      </w:r>
      <w:r w:rsidR="00500FBB">
        <w:rPr>
          <w:rFonts w:ascii="Times New Roman" w:hAnsi="Times New Roman" w:cs="Times New Roman"/>
          <w:sz w:val="24"/>
          <w:szCs w:val="24"/>
        </w:rPr>
        <w:t>he process remain</w:t>
      </w:r>
      <w:r w:rsidR="00717120">
        <w:rPr>
          <w:rFonts w:ascii="Times New Roman" w:hAnsi="Times New Roman" w:cs="Times New Roman"/>
          <w:sz w:val="24"/>
          <w:szCs w:val="24"/>
        </w:rPr>
        <w:t>s</w:t>
      </w:r>
      <w:r w:rsidR="00500FBB">
        <w:rPr>
          <w:rFonts w:ascii="Times New Roman" w:hAnsi="Times New Roman" w:cs="Times New Roman"/>
          <w:sz w:val="24"/>
          <w:szCs w:val="24"/>
        </w:rPr>
        <w:t xml:space="preserve"> </w:t>
      </w:r>
      <w:r w:rsidR="00101983" w:rsidRPr="000C2492">
        <w:rPr>
          <w:rFonts w:ascii="Times New Roman" w:hAnsi="Times New Roman" w:cs="Times New Roman"/>
          <w:sz w:val="24"/>
          <w:szCs w:val="24"/>
        </w:rPr>
        <w:t xml:space="preserve">relatively unknown to the </w:t>
      </w:r>
      <w:r w:rsidR="00F437FE" w:rsidRPr="000C2492">
        <w:rPr>
          <w:rFonts w:ascii="Times New Roman" w:hAnsi="Times New Roman" w:cs="Times New Roman"/>
          <w:sz w:val="24"/>
          <w:szCs w:val="24"/>
        </w:rPr>
        <w:t>public</w:t>
      </w:r>
      <w:r w:rsidR="00500FBB">
        <w:rPr>
          <w:rFonts w:ascii="Times New Roman" w:hAnsi="Times New Roman" w:cs="Times New Roman"/>
          <w:sz w:val="24"/>
          <w:szCs w:val="24"/>
        </w:rPr>
        <w:t xml:space="preserve"> </w:t>
      </w:r>
      <w:r w:rsidR="00101983" w:rsidRPr="000C2492">
        <w:rPr>
          <w:rFonts w:ascii="Times New Roman" w:hAnsi="Times New Roman" w:cs="Times New Roman"/>
          <w:sz w:val="24"/>
          <w:szCs w:val="24"/>
        </w:rPr>
        <w:t xml:space="preserve">and </w:t>
      </w:r>
      <w:r w:rsidR="00496776" w:rsidRPr="000C2492">
        <w:rPr>
          <w:rFonts w:ascii="Times New Roman" w:hAnsi="Times New Roman" w:cs="Times New Roman"/>
          <w:sz w:val="24"/>
          <w:szCs w:val="24"/>
        </w:rPr>
        <w:t xml:space="preserve">therefore </w:t>
      </w:r>
      <w:r w:rsidR="00717120">
        <w:rPr>
          <w:rFonts w:ascii="Times New Roman" w:hAnsi="Times New Roman" w:cs="Times New Roman"/>
          <w:sz w:val="24"/>
          <w:szCs w:val="24"/>
        </w:rPr>
        <w:t xml:space="preserve">may </w:t>
      </w:r>
      <w:r w:rsidR="00101983" w:rsidRPr="000C2492">
        <w:rPr>
          <w:rFonts w:ascii="Times New Roman" w:hAnsi="Times New Roman" w:cs="Times New Roman"/>
          <w:sz w:val="24"/>
          <w:szCs w:val="24"/>
        </w:rPr>
        <w:t>create</w:t>
      </w:r>
      <w:r w:rsidR="007B1DB0" w:rsidRPr="000C2492">
        <w:rPr>
          <w:rFonts w:ascii="Times New Roman" w:hAnsi="Times New Roman" w:cs="Times New Roman"/>
          <w:sz w:val="24"/>
          <w:szCs w:val="24"/>
        </w:rPr>
        <w:t xml:space="preserve"> </w:t>
      </w:r>
      <w:r w:rsidR="00101983" w:rsidRPr="000C2492">
        <w:rPr>
          <w:rFonts w:ascii="Times New Roman" w:hAnsi="Times New Roman" w:cs="Times New Roman"/>
          <w:sz w:val="24"/>
          <w:szCs w:val="24"/>
        </w:rPr>
        <w:t>an undue amount of uncertainty</w:t>
      </w:r>
      <w:r w:rsidR="00F208F5">
        <w:rPr>
          <w:rFonts w:ascii="Times New Roman" w:hAnsi="Times New Roman" w:cs="Times New Roman"/>
          <w:sz w:val="24"/>
          <w:szCs w:val="24"/>
        </w:rPr>
        <w:t xml:space="preserve"> and unease</w:t>
      </w:r>
      <w:r w:rsidR="00717120">
        <w:rPr>
          <w:rFonts w:ascii="Times New Roman" w:hAnsi="Times New Roman" w:cs="Times New Roman"/>
          <w:sz w:val="24"/>
          <w:szCs w:val="24"/>
        </w:rPr>
        <w:t xml:space="preserve"> for those undergoing the process</w:t>
      </w:r>
      <w:r w:rsidR="00C04B5F">
        <w:rPr>
          <w:rFonts w:ascii="Times New Roman" w:hAnsi="Times New Roman" w:cs="Times New Roman"/>
          <w:sz w:val="24"/>
          <w:szCs w:val="24"/>
        </w:rPr>
        <w:t>. This is</w:t>
      </w:r>
      <w:r w:rsidR="003A6941">
        <w:rPr>
          <w:rFonts w:ascii="Times New Roman" w:hAnsi="Times New Roman" w:cs="Times New Roman"/>
          <w:sz w:val="24"/>
          <w:szCs w:val="24"/>
        </w:rPr>
        <w:t xml:space="preserve"> especially since</w:t>
      </w:r>
      <w:r w:rsidR="006A1F75">
        <w:rPr>
          <w:rFonts w:ascii="Times New Roman" w:hAnsi="Times New Roman" w:cs="Times New Roman"/>
          <w:sz w:val="24"/>
          <w:szCs w:val="24"/>
        </w:rPr>
        <w:t xml:space="preserve"> </w:t>
      </w:r>
      <w:r w:rsidR="00BE7974">
        <w:rPr>
          <w:rFonts w:ascii="Times New Roman" w:hAnsi="Times New Roman" w:cs="Times New Roman"/>
          <w:sz w:val="24"/>
          <w:szCs w:val="24"/>
        </w:rPr>
        <w:t>statements are often taken without counsel present.</w:t>
      </w:r>
      <w:r w:rsidR="00BE7974">
        <w:rPr>
          <w:rStyle w:val="FootnoteReference"/>
          <w:rFonts w:ascii="Times New Roman" w:hAnsi="Times New Roman" w:cs="Times New Roman"/>
          <w:sz w:val="24"/>
          <w:szCs w:val="24"/>
        </w:rPr>
        <w:footnoteReference w:id="3"/>
      </w:r>
      <w:r w:rsidR="00BE7974">
        <w:rPr>
          <w:rFonts w:ascii="Times New Roman" w:hAnsi="Times New Roman" w:cs="Times New Roman"/>
          <w:sz w:val="24"/>
          <w:szCs w:val="24"/>
        </w:rPr>
        <w:t xml:space="preserve"> </w:t>
      </w:r>
    </w:p>
    <w:p w14:paraId="2C42FE28" w14:textId="77777777" w:rsidR="00141CB7" w:rsidRDefault="00141CB7" w:rsidP="000C2492">
      <w:pPr>
        <w:jc w:val="both"/>
        <w:rPr>
          <w:rFonts w:ascii="Times New Roman" w:hAnsi="Times New Roman" w:cs="Times New Roman"/>
          <w:sz w:val="24"/>
          <w:szCs w:val="24"/>
        </w:rPr>
      </w:pPr>
    </w:p>
    <w:p w14:paraId="6C5FDE6B" w14:textId="1E3682C2" w:rsidR="00B55BDD" w:rsidRDefault="00BE7974" w:rsidP="000C2492">
      <w:pPr>
        <w:jc w:val="both"/>
        <w:rPr>
          <w:rFonts w:ascii="Times New Roman" w:hAnsi="Times New Roman" w:cs="Times New Roman"/>
          <w:sz w:val="24"/>
          <w:szCs w:val="24"/>
        </w:rPr>
      </w:pPr>
      <w:r>
        <w:rPr>
          <w:rFonts w:ascii="Times New Roman" w:hAnsi="Times New Roman" w:cs="Times New Roman"/>
          <w:sz w:val="24"/>
          <w:szCs w:val="24"/>
        </w:rPr>
        <w:t xml:space="preserve">Recent </w:t>
      </w:r>
      <w:r w:rsidR="006B0359">
        <w:rPr>
          <w:rFonts w:ascii="Times New Roman" w:hAnsi="Times New Roman" w:cs="Times New Roman"/>
          <w:sz w:val="24"/>
          <w:szCs w:val="24"/>
        </w:rPr>
        <w:t>events</w:t>
      </w:r>
      <w:r w:rsidR="0060121E">
        <w:rPr>
          <w:rFonts w:ascii="Times New Roman" w:hAnsi="Times New Roman" w:cs="Times New Roman"/>
          <w:sz w:val="24"/>
          <w:szCs w:val="24"/>
        </w:rPr>
        <w:t xml:space="preserve"> </w:t>
      </w:r>
      <w:r w:rsidR="002D1E42">
        <w:rPr>
          <w:rFonts w:ascii="Times New Roman" w:hAnsi="Times New Roman" w:cs="Times New Roman"/>
          <w:sz w:val="24"/>
          <w:szCs w:val="24"/>
        </w:rPr>
        <w:t>have</w:t>
      </w:r>
      <w:r w:rsidR="0060121E">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C14782">
        <w:rPr>
          <w:rFonts w:ascii="Times New Roman" w:hAnsi="Times New Roman" w:cs="Times New Roman"/>
          <w:sz w:val="24"/>
          <w:szCs w:val="24"/>
        </w:rPr>
        <w:t xml:space="preserve">demonstrated </w:t>
      </w:r>
      <w:r w:rsidR="002D1E42">
        <w:rPr>
          <w:rFonts w:ascii="Times New Roman" w:hAnsi="Times New Roman" w:cs="Times New Roman"/>
          <w:sz w:val="24"/>
          <w:szCs w:val="24"/>
        </w:rPr>
        <w:t>the</w:t>
      </w:r>
      <w:r w:rsidR="0060121E">
        <w:rPr>
          <w:rFonts w:ascii="Times New Roman" w:hAnsi="Times New Roman" w:cs="Times New Roman"/>
          <w:sz w:val="24"/>
          <w:szCs w:val="24"/>
        </w:rPr>
        <w:t xml:space="preserve"> </w:t>
      </w:r>
      <w:r w:rsidR="002D1E42">
        <w:rPr>
          <w:rFonts w:ascii="Times New Roman" w:hAnsi="Times New Roman" w:cs="Times New Roman"/>
          <w:sz w:val="24"/>
          <w:szCs w:val="24"/>
        </w:rPr>
        <w:t>potential implications of statements</w:t>
      </w:r>
      <w:r w:rsidR="00137B74">
        <w:rPr>
          <w:rFonts w:ascii="Times New Roman" w:hAnsi="Times New Roman" w:cs="Times New Roman"/>
          <w:sz w:val="24"/>
          <w:szCs w:val="24"/>
        </w:rPr>
        <w:t xml:space="preserve"> </w:t>
      </w:r>
      <w:r w:rsidR="00411462">
        <w:rPr>
          <w:rFonts w:ascii="Times New Roman" w:hAnsi="Times New Roman" w:cs="Times New Roman"/>
          <w:sz w:val="24"/>
          <w:szCs w:val="24"/>
        </w:rPr>
        <w:t xml:space="preserve">being </w:t>
      </w:r>
      <w:r w:rsidR="00137B74">
        <w:rPr>
          <w:rFonts w:ascii="Times New Roman" w:hAnsi="Times New Roman" w:cs="Times New Roman"/>
          <w:sz w:val="24"/>
          <w:szCs w:val="24"/>
        </w:rPr>
        <w:t>made to police.</w:t>
      </w:r>
      <w:r w:rsidR="006B0359">
        <w:rPr>
          <w:rFonts w:ascii="Times New Roman" w:hAnsi="Times New Roman" w:cs="Times New Roman"/>
          <w:sz w:val="24"/>
          <w:szCs w:val="24"/>
        </w:rPr>
        <w:t xml:space="preserve"> </w:t>
      </w:r>
      <w:r w:rsidR="00717120">
        <w:rPr>
          <w:rFonts w:ascii="Times New Roman" w:hAnsi="Times New Roman" w:cs="Times New Roman"/>
          <w:sz w:val="24"/>
          <w:szCs w:val="24"/>
        </w:rPr>
        <w:t>For instance, people</w:t>
      </w:r>
      <w:r w:rsidR="007E0F89">
        <w:rPr>
          <w:rFonts w:ascii="Times New Roman" w:hAnsi="Times New Roman" w:cs="Times New Roman"/>
          <w:sz w:val="24"/>
          <w:szCs w:val="24"/>
        </w:rPr>
        <w:t xml:space="preserve"> </w:t>
      </w:r>
      <w:r w:rsidR="00FF1792">
        <w:rPr>
          <w:rFonts w:ascii="Times New Roman" w:hAnsi="Times New Roman" w:cs="Times New Roman"/>
          <w:sz w:val="24"/>
          <w:szCs w:val="24"/>
        </w:rPr>
        <w:t xml:space="preserve">have lost </w:t>
      </w:r>
      <w:r w:rsidR="007E0F89">
        <w:rPr>
          <w:rFonts w:ascii="Times New Roman" w:hAnsi="Times New Roman" w:cs="Times New Roman"/>
          <w:sz w:val="24"/>
          <w:szCs w:val="24"/>
        </w:rPr>
        <w:t xml:space="preserve">their livelihood </w:t>
      </w:r>
      <w:r w:rsidR="00FF1792">
        <w:rPr>
          <w:rFonts w:ascii="Times New Roman" w:hAnsi="Times New Roman" w:cs="Times New Roman"/>
          <w:sz w:val="24"/>
          <w:szCs w:val="24"/>
        </w:rPr>
        <w:t>by being the subject of a police report</w:t>
      </w:r>
      <w:r w:rsidR="007E0F89">
        <w:rPr>
          <w:rFonts w:ascii="Times New Roman" w:hAnsi="Times New Roman" w:cs="Times New Roman"/>
          <w:sz w:val="24"/>
          <w:szCs w:val="24"/>
        </w:rPr>
        <w:t>.</w:t>
      </w:r>
      <w:r w:rsidR="007E0F89">
        <w:rPr>
          <w:rStyle w:val="FootnoteReference"/>
          <w:rFonts w:ascii="Times New Roman" w:hAnsi="Times New Roman" w:cs="Times New Roman"/>
          <w:sz w:val="24"/>
          <w:szCs w:val="24"/>
        </w:rPr>
        <w:footnoteReference w:id="4"/>
      </w:r>
      <w:r w:rsidR="007E0F89">
        <w:rPr>
          <w:rFonts w:ascii="Times New Roman" w:hAnsi="Times New Roman" w:cs="Times New Roman"/>
          <w:sz w:val="24"/>
          <w:szCs w:val="24"/>
        </w:rPr>
        <w:t xml:space="preserve"> </w:t>
      </w:r>
      <w:r w:rsidR="00724873">
        <w:rPr>
          <w:rFonts w:ascii="Times New Roman" w:hAnsi="Times New Roman" w:cs="Times New Roman"/>
          <w:sz w:val="24"/>
          <w:szCs w:val="24"/>
        </w:rPr>
        <w:t>S</w:t>
      </w:r>
      <w:r w:rsidR="007E0F89">
        <w:rPr>
          <w:rFonts w:ascii="Times New Roman" w:hAnsi="Times New Roman" w:cs="Times New Roman"/>
          <w:sz w:val="24"/>
          <w:szCs w:val="24"/>
        </w:rPr>
        <w:t xml:space="preserve">tatements </w:t>
      </w:r>
      <w:r w:rsidR="00FF1792">
        <w:rPr>
          <w:rFonts w:ascii="Times New Roman" w:hAnsi="Times New Roman" w:cs="Times New Roman"/>
          <w:sz w:val="24"/>
          <w:szCs w:val="24"/>
        </w:rPr>
        <w:t xml:space="preserve">that are </w:t>
      </w:r>
      <w:r w:rsidR="000A385D">
        <w:rPr>
          <w:rFonts w:ascii="Times New Roman" w:hAnsi="Times New Roman" w:cs="Times New Roman"/>
          <w:sz w:val="24"/>
          <w:szCs w:val="24"/>
        </w:rPr>
        <w:t xml:space="preserve">made to the police </w:t>
      </w:r>
      <w:r w:rsidR="007E0F89">
        <w:rPr>
          <w:rFonts w:ascii="Times New Roman" w:hAnsi="Times New Roman" w:cs="Times New Roman"/>
          <w:sz w:val="24"/>
          <w:szCs w:val="24"/>
        </w:rPr>
        <w:t xml:space="preserve">might </w:t>
      </w:r>
      <w:r w:rsidR="000A385D">
        <w:rPr>
          <w:rFonts w:ascii="Times New Roman" w:hAnsi="Times New Roman" w:cs="Times New Roman"/>
          <w:sz w:val="24"/>
          <w:szCs w:val="24"/>
        </w:rPr>
        <w:t xml:space="preserve">result in </w:t>
      </w:r>
      <w:r w:rsidR="007E0F89">
        <w:rPr>
          <w:rFonts w:ascii="Times New Roman" w:hAnsi="Times New Roman" w:cs="Times New Roman"/>
          <w:sz w:val="24"/>
          <w:szCs w:val="24"/>
        </w:rPr>
        <w:t xml:space="preserve">protracted </w:t>
      </w:r>
      <w:r w:rsidR="00A50483">
        <w:rPr>
          <w:rFonts w:ascii="Times New Roman" w:hAnsi="Times New Roman" w:cs="Times New Roman"/>
          <w:sz w:val="24"/>
          <w:szCs w:val="24"/>
        </w:rPr>
        <w:t xml:space="preserve">legal </w:t>
      </w:r>
      <w:r w:rsidR="000A385D">
        <w:rPr>
          <w:rFonts w:ascii="Times New Roman" w:hAnsi="Times New Roman" w:cs="Times New Roman"/>
          <w:sz w:val="24"/>
          <w:szCs w:val="24"/>
        </w:rPr>
        <w:t xml:space="preserve">proceedings </w:t>
      </w:r>
      <w:r w:rsidR="007E0F89">
        <w:rPr>
          <w:rFonts w:ascii="Times New Roman" w:hAnsi="Times New Roman" w:cs="Times New Roman"/>
          <w:sz w:val="24"/>
          <w:szCs w:val="24"/>
        </w:rPr>
        <w:t xml:space="preserve">and </w:t>
      </w:r>
      <w:r w:rsidR="000A385D">
        <w:rPr>
          <w:rFonts w:ascii="Times New Roman" w:hAnsi="Times New Roman" w:cs="Times New Roman"/>
          <w:sz w:val="24"/>
          <w:szCs w:val="24"/>
        </w:rPr>
        <w:t xml:space="preserve">other </w:t>
      </w:r>
      <w:r w:rsidR="007E0F89">
        <w:rPr>
          <w:rFonts w:ascii="Times New Roman" w:hAnsi="Times New Roman" w:cs="Times New Roman"/>
          <w:sz w:val="24"/>
          <w:szCs w:val="24"/>
        </w:rPr>
        <w:t>harsh</w:t>
      </w:r>
      <w:r w:rsidR="000A385D">
        <w:rPr>
          <w:rFonts w:ascii="Times New Roman" w:hAnsi="Times New Roman" w:cs="Times New Roman"/>
          <w:sz w:val="24"/>
          <w:szCs w:val="24"/>
        </w:rPr>
        <w:t xml:space="preserve"> </w:t>
      </w:r>
      <w:r w:rsidR="00FA5CB2">
        <w:rPr>
          <w:rFonts w:ascii="Times New Roman" w:hAnsi="Times New Roman" w:cs="Times New Roman"/>
          <w:sz w:val="24"/>
          <w:szCs w:val="24"/>
        </w:rPr>
        <w:t xml:space="preserve">social </w:t>
      </w:r>
      <w:r w:rsidR="000A385D">
        <w:rPr>
          <w:rFonts w:ascii="Times New Roman" w:hAnsi="Times New Roman" w:cs="Times New Roman"/>
          <w:sz w:val="24"/>
          <w:szCs w:val="24"/>
        </w:rPr>
        <w:t>consequences</w:t>
      </w:r>
      <w:r w:rsidR="007E0F89">
        <w:rPr>
          <w:rFonts w:ascii="Times New Roman" w:hAnsi="Times New Roman" w:cs="Times New Roman"/>
          <w:sz w:val="24"/>
          <w:szCs w:val="24"/>
        </w:rPr>
        <w:t xml:space="preserve">. </w:t>
      </w:r>
      <w:r w:rsidR="00724873">
        <w:rPr>
          <w:rFonts w:ascii="Times New Roman" w:hAnsi="Times New Roman" w:cs="Times New Roman"/>
          <w:sz w:val="24"/>
          <w:szCs w:val="24"/>
        </w:rPr>
        <w:t xml:space="preserve">Most recently, certain </w:t>
      </w:r>
      <w:r w:rsidR="006B0359">
        <w:rPr>
          <w:rFonts w:ascii="Times New Roman" w:hAnsi="Times New Roman" w:cs="Times New Roman"/>
          <w:sz w:val="24"/>
          <w:szCs w:val="24"/>
        </w:rPr>
        <w:t xml:space="preserve">false allegations of molest </w:t>
      </w:r>
      <w:r w:rsidR="00FF1792">
        <w:rPr>
          <w:rFonts w:ascii="Times New Roman" w:hAnsi="Times New Roman" w:cs="Times New Roman"/>
          <w:sz w:val="24"/>
          <w:szCs w:val="24"/>
        </w:rPr>
        <w:t xml:space="preserve">that were made </w:t>
      </w:r>
      <w:r w:rsidR="006B0359">
        <w:rPr>
          <w:rFonts w:ascii="Times New Roman" w:hAnsi="Times New Roman" w:cs="Times New Roman"/>
          <w:sz w:val="24"/>
          <w:szCs w:val="24"/>
        </w:rPr>
        <w:t xml:space="preserve">against </w:t>
      </w:r>
      <w:r w:rsidR="00E33ACE">
        <w:rPr>
          <w:rFonts w:ascii="Times New Roman" w:hAnsi="Times New Roman" w:cs="Times New Roman"/>
          <w:sz w:val="24"/>
          <w:szCs w:val="24"/>
        </w:rPr>
        <w:t xml:space="preserve">a </w:t>
      </w:r>
      <w:r w:rsidR="00724873">
        <w:rPr>
          <w:rFonts w:ascii="Times New Roman" w:hAnsi="Times New Roman" w:cs="Times New Roman"/>
          <w:sz w:val="24"/>
          <w:szCs w:val="24"/>
        </w:rPr>
        <w:t xml:space="preserve">local </w:t>
      </w:r>
      <w:r w:rsidR="006F7806">
        <w:rPr>
          <w:rFonts w:ascii="Times New Roman" w:hAnsi="Times New Roman" w:cs="Times New Roman"/>
          <w:sz w:val="24"/>
          <w:szCs w:val="24"/>
        </w:rPr>
        <w:t>doctor</w:t>
      </w:r>
      <w:r w:rsidR="00137B74">
        <w:rPr>
          <w:rFonts w:ascii="Times New Roman" w:hAnsi="Times New Roman" w:cs="Times New Roman"/>
          <w:sz w:val="24"/>
          <w:szCs w:val="24"/>
        </w:rPr>
        <w:t xml:space="preserve"> </w:t>
      </w:r>
      <w:r w:rsidR="009D377B">
        <w:rPr>
          <w:rFonts w:ascii="Times New Roman" w:hAnsi="Times New Roman" w:cs="Times New Roman"/>
          <w:sz w:val="24"/>
          <w:szCs w:val="24"/>
        </w:rPr>
        <w:t xml:space="preserve">resulted in investigations that </w:t>
      </w:r>
      <w:r w:rsidR="00137B74">
        <w:rPr>
          <w:rFonts w:ascii="Times New Roman" w:hAnsi="Times New Roman" w:cs="Times New Roman"/>
          <w:sz w:val="24"/>
          <w:szCs w:val="24"/>
        </w:rPr>
        <w:t>caused him more than $600,000 in legal fees</w:t>
      </w:r>
      <w:r w:rsidR="00500FBB">
        <w:rPr>
          <w:rFonts w:ascii="Times New Roman" w:hAnsi="Times New Roman" w:cs="Times New Roman"/>
          <w:sz w:val="24"/>
          <w:szCs w:val="24"/>
        </w:rPr>
        <w:t xml:space="preserve"> over a period of 4 years</w:t>
      </w:r>
      <w:r w:rsidR="00137B74">
        <w:rPr>
          <w:rFonts w:ascii="Times New Roman" w:hAnsi="Times New Roman" w:cs="Times New Roman"/>
          <w:sz w:val="24"/>
          <w:szCs w:val="24"/>
        </w:rPr>
        <w:t>.</w:t>
      </w:r>
      <w:r w:rsidR="00137B74">
        <w:rPr>
          <w:rStyle w:val="FootnoteReference"/>
          <w:rFonts w:ascii="Times New Roman" w:hAnsi="Times New Roman" w:cs="Times New Roman"/>
          <w:sz w:val="24"/>
          <w:szCs w:val="24"/>
        </w:rPr>
        <w:footnoteReference w:id="5"/>
      </w:r>
      <w:r w:rsidR="006B0359">
        <w:rPr>
          <w:rFonts w:ascii="Times New Roman" w:hAnsi="Times New Roman" w:cs="Times New Roman"/>
          <w:sz w:val="24"/>
          <w:szCs w:val="24"/>
        </w:rPr>
        <w:t xml:space="preserve"> </w:t>
      </w:r>
      <w:r w:rsidR="00660235">
        <w:rPr>
          <w:rFonts w:ascii="Times New Roman" w:hAnsi="Times New Roman" w:cs="Times New Roman"/>
          <w:sz w:val="24"/>
          <w:szCs w:val="24"/>
        </w:rPr>
        <w:t>As part of this</w:t>
      </w:r>
      <w:r w:rsidR="002942C8">
        <w:rPr>
          <w:rFonts w:ascii="Times New Roman" w:hAnsi="Times New Roman" w:cs="Times New Roman"/>
          <w:sz w:val="24"/>
          <w:szCs w:val="24"/>
        </w:rPr>
        <w:t xml:space="preserve">, the public may </w:t>
      </w:r>
      <w:r w:rsidR="006B0359">
        <w:rPr>
          <w:rFonts w:ascii="Times New Roman" w:hAnsi="Times New Roman" w:cs="Times New Roman"/>
          <w:sz w:val="24"/>
          <w:szCs w:val="24"/>
        </w:rPr>
        <w:t>wonder how</w:t>
      </w:r>
      <w:r w:rsidR="00137B74">
        <w:rPr>
          <w:rFonts w:ascii="Times New Roman" w:hAnsi="Times New Roman" w:cs="Times New Roman"/>
          <w:sz w:val="24"/>
          <w:szCs w:val="24"/>
        </w:rPr>
        <w:t xml:space="preserve"> courts might treat </w:t>
      </w:r>
      <w:r w:rsidR="004E48C8">
        <w:rPr>
          <w:rFonts w:ascii="Times New Roman" w:hAnsi="Times New Roman" w:cs="Times New Roman"/>
          <w:sz w:val="24"/>
          <w:szCs w:val="24"/>
        </w:rPr>
        <w:t xml:space="preserve">statements </w:t>
      </w:r>
      <w:r w:rsidR="005A262D">
        <w:rPr>
          <w:rFonts w:ascii="Times New Roman" w:hAnsi="Times New Roman" w:cs="Times New Roman"/>
          <w:sz w:val="24"/>
          <w:szCs w:val="24"/>
        </w:rPr>
        <w:t xml:space="preserve">that are taken during </w:t>
      </w:r>
      <w:r w:rsidR="00B55BDD">
        <w:rPr>
          <w:rFonts w:ascii="Times New Roman" w:hAnsi="Times New Roman" w:cs="Times New Roman"/>
          <w:sz w:val="24"/>
          <w:szCs w:val="24"/>
        </w:rPr>
        <w:t>investigations and</w:t>
      </w:r>
      <w:r w:rsidR="00137B74">
        <w:rPr>
          <w:rFonts w:ascii="Times New Roman" w:hAnsi="Times New Roman" w:cs="Times New Roman"/>
          <w:sz w:val="24"/>
          <w:szCs w:val="24"/>
        </w:rPr>
        <w:t xml:space="preserve"> </w:t>
      </w:r>
      <w:r w:rsidR="007F7960">
        <w:rPr>
          <w:rFonts w:ascii="Times New Roman" w:hAnsi="Times New Roman" w:cs="Times New Roman"/>
          <w:sz w:val="24"/>
          <w:szCs w:val="24"/>
        </w:rPr>
        <w:t xml:space="preserve">wonder </w:t>
      </w:r>
      <w:r w:rsidR="00137B74">
        <w:rPr>
          <w:rFonts w:ascii="Times New Roman" w:hAnsi="Times New Roman" w:cs="Times New Roman"/>
          <w:sz w:val="24"/>
          <w:szCs w:val="24"/>
        </w:rPr>
        <w:t>whether there are sufficient safeguards against unreliable</w:t>
      </w:r>
      <w:r w:rsidR="00B55BDD">
        <w:rPr>
          <w:rFonts w:ascii="Times New Roman" w:hAnsi="Times New Roman" w:cs="Times New Roman"/>
          <w:sz w:val="24"/>
          <w:szCs w:val="24"/>
        </w:rPr>
        <w:t xml:space="preserve"> </w:t>
      </w:r>
      <w:r w:rsidR="00137B74">
        <w:rPr>
          <w:rFonts w:ascii="Times New Roman" w:hAnsi="Times New Roman" w:cs="Times New Roman"/>
          <w:sz w:val="24"/>
          <w:szCs w:val="24"/>
        </w:rPr>
        <w:t>statements.</w:t>
      </w:r>
    </w:p>
    <w:p w14:paraId="19AED86E" w14:textId="52BE5F6E" w:rsidR="00E17EC8" w:rsidRPr="000C2492" w:rsidRDefault="00F208F5" w:rsidP="000C2492">
      <w:pPr>
        <w:jc w:val="both"/>
        <w:rPr>
          <w:rFonts w:ascii="Times New Roman" w:hAnsi="Times New Roman" w:cs="Times New Roman"/>
          <w:sz w:val="24"/>
          <w:szCs w:val="24"/>
        </w:rPr>
      </w:pPr>
      <w:r>
        <w:rPr>
          <w:rFonts w:ascii="Times New Roman" w:hAnsi="Times New Roman" w:cs="Times New Roman"/>
          <w:sz w:val="24"/>
          <w:szCs w:val="24"/>
        </w:rPr>
        <w:t xml:space="preserve"> </w:t>
      </w:r>
      <w:r w:rsidR="00AA33A9">
        <w:rPr>
          <w:rFonts w:ascii="Times New Roman" w:hAnsi="Times New Roman" w:cs="Times New Roman"/>
          <w:sz w:val="24"/>
          <w:szCs w:val="24"/>
        </w:rPr>
        <w:br/>
      </w:r>
      <w:r w:rsidR="00D7492E">
        <w:rPr>
          <w:rFonts w:ascii="Times New Roman" w:hAnsi="Times New Roman" w:cs="Times New Roman"/>
          <w:sz w:val="24"/>
          <w:szCs w:val="24"/>
        </w:rPr>
        <w:t>T</w:t>
      </w:r>
      <w:r w:rsidR="00B65817" w:rsidRPr="000C2492">
        <w:rPr>
          <w:rFonts w:ascii="Times New Roman" w:hAnsi="Times New Roman" w:cs="Times New Roman"/>
          <w:sz w:val="24"/>
          <w:szCs w:val="24"/>
        </w:rPr>
        <w:t xml:space="preserve">his article </w:t>
      </w:r>
      <w:r w:rsidR="000C38CD" w:rsidRPr="000C2492">
        <w:rPr>
          <w:rFonts w:ascii="Times New Roman" w:hAnsi="Times New Roman" w:cs="Times New Roman"/>
          <w:sz w:val="24"/>
          <w:szCs w:val="24"/>
        </w:rPr>
        <w:t xml:space="preserve">aims to </w:t>
      </w:r>
      <w:r w:rsidR="00B65817" w:rsidRPr="000C2492">
        <w:rPr>
          <w:rFonts w:ascii="Times New Roman" w:hAnsi="Times New Roman" w:cs="Times New Roman"/>
          <w:sz w:val="24"/>
          <w:szCs w:val="24"/>
        </w:rPr>
        <w:t xml:space="preserve">introduce the </w:t>
      </w:r>
      <w:r w:rsidR="003B67E0" w:rsidRPr="000C2492">
        <w:rPr>
          <w:rFonts w:ascii="Times New Roman" w:hAnsi="Times New Roman" w:cs="Times New Roman"/>
          <w:sz w:val="24"/>
          <w:szCs w:val="24"/>
        </w:rPr>
        <w:t xml:space="preserve">various </w:t>
      </w:r>
      <w:r w:rsidR="00B65817" w:rsidRPr="000C2492">
        <w:rPr>
          <w:rFonts w:ascii="Times New Roman" w:hAnsi="Times New Roman" w:cs="Times New Roman"/>
          <w:sz w:val="24"/>
          <w:szCs w:val="24"/>
        </w:rPr>
        <w:t>types of statements that may be recorded</w:t>
      </w:r>
      <w:r w:rsidR="00590026" w:rsidRPr="000C2492">
        <w:rPr>
          <w:rFonts w:ascii="Times New Roman" w:hAnsi="Times New Roman" w:cs="Times New Roman"/>
          <w:sz w:val="24"/>
          <w:szCs w:val="24"/>
        </w:rPr>
        <w:t xml:space="preserve"> by the police </w:t>
      </w:r>
      <w:r w:rsidR="000B4470" w:rsidRPr="000C2492">
        <w:rPr>
          <w:rFonts w:ascii="Times New Roman" w:hAnsi="Times New Roman" w:cs="Times New Roman"/>
          <w:sz w:val="24"/>
          <w:szCs w:val="24"/>
        </w:rPr>
        <w:t>during</w:t>
      </w:r>
      <w:r w:rsidR="00590026" w:rsidRPr="000C2492">
        <w:rPr>
          <w:rFonts w:ascii="Times New Roman" w:hAnsi="Times New Roman" w:cs="Times New Roman"/>
          <w:sz w:val="24"/>
          <w:szCs w:val="24"/>
        </w:rPr>
        <w:t xml:space="preserve"> their investigations</w:t>
      </w:r>
      <w:r w:rsidR="00B65817" w:rsidRPr="000C2492">
        <w:rPr>
          <w:rFonts w:ascii="Times New Roman" w:hAnsi="Times New Roman" w:cs="Times New Roman"/>
          <w:sz w:val="24"/>
          <w:szCs w:val="24"/>
        </w:rPr>
        <w:t xml:space="preserve">. </w:t>
      </w:r>
      <w:r w:rsidR="00927126" w:rsidRPr="000C2492">
        <w:rPr>
          <w:rFonts w:ascii="Times New Roman" w:hAnsi="Times New Roman" w:cs="Times New Roman"/>
          <w:sz w:val="24"/>
          <w:szCs w:val="24"/>
        </w:rPr>
        <w:t xml:space="preserve">This </w:t>
      </w:r>
      <w:r w:rsidR="00B65817" w:rsidRPr="000C2492">
        <w:rPr>
          <w:rFonts w:ascii="Times New Roman" w:hAnsi="Times New Roman" w:cs="Times New Roman"/>
          <w:sz w:val="24"/>
          <w:szCs w:val="24"/>
        </w:rPr>
        <w:t xml:space="preserve">will shed </w:t>
      </w:r>
      <w:r w:rsidR="00236958">
        <w:rPr>
          <w:rFonts w:ascii="Times New Roman" w:hAnsi="Times New Roman" w:cs="Times New Roman"/>
          <w:sz w:val="24"/>
          <w:szCs w:val="24"/>
        </w:rPr>
        <w:t xml:space="preserve">some </w:t>
      </w:r>
      <w:r w:rsidR="00B65817" w:rsidRPr="000C2492">
        <w:rPr>
          <w:rFonts w:ascii="Times New Roman" w:hAnsi="Times New Roman" w:cs="Times New Roman"/>
          <w:sz w:val="24"/>
          <w:szCs w:val="24"/>
        </w:rPr>
        <w:t xml:space="preserve">light on the </w:t>
      </w:r>
      <w:r w:rsidR="00F437FE" w:rsidRPr="000C2492">
        <w:rPr>
          <w:rFonts w:ascii="Times New Roman" w:hAnsi="Times New Roman" w:cs="Times New Roman"/>
          <w:sz w:val="24"/>
          <w:szCs w:val="24"/>
        </w:rPr>
        <w:t xml:space="preserve">existing </w:t>
      </w:r>
      <w:r w:rsidR="00496776" w:rsidRPr="000C2492">
        <w:rPr>
          <w:rFonts w:ascii="Times New Roman" w:hAnsi="Times New Roman" w:cs="Times New Roman"/>
          <w:sz w:val="24"/>
          <w:szCs w:val="24"/>
        </w:rPr>
        <w:t xml:space="preserve">statutory requirements </w:t>
      </w:r>
      <w:r w:rsidR="000B79A8" w:rsidRPr="000C2492">
        <w:rPr>
          <w:rFonts w:ascii="Times New Roman" w:hAnsi="Times New Roman" w:cs="Times New Roman"/>
          <w:sz w:val="24"/>
          <w:szCs w:val="24"/>
        </w:rPr>
        <w:t xml:space="preserve">that must be met when </w:t>
      </w:r>
      <w:r w:rsidR="00496776" w:rsidRPr="000C2492">
        <w:rPr>
          <w:rFonts w:ascii="Times New Roman" w:hAnsi="Times New Roman" w:cs="Times New Roman"/>
          <w:sz w:val="24"/>
          <w:szCs w:val="24"/>
        </w:rPr>
        <w:t>statements are taken</w:t>
      </w:r>
      <w:r w:rsidR="000B79A8" w:rsidRPr="000C2492">
        <w:rPr>
          <w:rFonts w:ascii="Times New Roman" w:hAnsi="Times New Roman" w:cs="Times New Roman"/>
          <w:sz w:val="24"/>
          <w:szCs w:val="24"/>
        </w:rPr>
        <w:t>.</w:t>
      </w:r>
      <w:r w:rsidR="00496776" w:rsidRPr="000C2492">
        <w:rPr>
          <w:rFonts w:ascii="Times New Roman" w:hAnsi="Times New Roman" w:cs="Times New Roman"/>
          <w:sz w:val="24"/>
          <w:szCs w:val="24"/>
        </w:rPr>
        <w:t xml:space="preserve"> </w:t>
      </w:r>
      <w:r w:rsidR="00927126" w:rsidRPr="000C2492">
        <w:rPr>
          <w:rFonts w:ascii="Times New Roman" w:hAnsi="Times New Roman" w:cs="Times New Roman"/>
          <w:sz w:val="24"/>
          <w:szCs w:val="24"/>
        </w:rPr>
        <w:t xml:space="preserve">The article </w:t>
      </w:r>
      <w:r w:rsidR="000B79A8" w:rsidRPr="000C2492">
        <w:rPr>
          <w:rFonts w:ascii="Times New Roman" w:hAnsi="Times New Roman" w:cs="Times New Roman"/>
          <w:sz w:val="24"/>
          <w:szCs w:val="24"/>
        </w:rPr>
        <w:t xml:space="preserve">will also </w:t>
      </w:r>
      <w:r w:rsidR="00BF4628">
        <w:rPr>
          <w:rFonts w:ascii="Times New Roman" w:hAnsi="Times New Roman" w:cs="Times New Roman"/>
          <w:sz w:val="24"/>
          <w:szCs w:val="24"/>
        </w:rPr>
        <w:t xml:space="preserve">briefly </w:t>
      </w:r>
      <w:r w:rsidR="004C5B66">
        <w:rPr>
          <w:rFonts w:ascii="Times New Roman" w:hAnsi="Times New Roman" w:cs="Times New Roman"/>
          <w:sz w:val="24"/>
          <w:szCs w:val="24"/>
        </w:rPr>
        <w:t>discuss</w:t>
      </w:r>
      <w:r w:rsidR="004C5B66" w:rsidRPr="000C2492">
        <w:rPr>
          <w:rFonts w:ascii="Times New Roman" w:hAnsi="Times New Roman" w:cs="Times New Roman"/>
          <w:sz w:val="24"/>
          <w:szCs w:val="24"/>
        </w:rPr>
        <w:t xml:space="preserve"> </w:t>
      </w:r>
      <w:r w:rsidR="000B79A8" w:rsidRPr="000C2492">
        <w:rPr>
          <w:rFonts w:ascii="Times New Roman" w:hAnsi="Times New Roman" w:cs="Times New Roman"/>
          <w:sz w:val="24"/>
          <w:szCs w:val="24"/>
        </w:rPr>
        <w:t>how</w:t>
      </w:r>
      <w:r w:rsidR="00E6676A">
        <w:rPr>
          <w:rFonts w:ascii="Times New Roman" w:hAnsi="Times New Roman" w:cs="Times New Roman"/>
          <w:sz w:val="24"/>
          <w:szCs w:val="24"/>
        </w:rPr>
        <w:t xml:space="preserve"> such </w:t>
      </w:r>
      <w:r w:rsidR="000B79A8" w:rsidRPr="000C2492">
        <w:rPr>
          <w:rFonts w:ascii="Times New Roman" w:hAnsi="Times New Roman" w:cs="Times New Roman"/>
          <w:sz w:val="24"/>
          <w:szCs w:val="24"/>
        </w:rPr>
        <w:t xml:space="preserve">statements </w:t>
      </w:r>
      <w:r w:rsidR="0091708C">
        <w:rPr>
          <w:rFonts w:ascii="Times New Roman" w:hAnsi="Times New Roman" w:cs="Times New Roman"/>
          <w:sz w:val="24"/>
          <w:szCs w:val="24"/>
        </w:rPr>
        <w:t xml:space="preserve">may be used </w:t>
      </w:r>
      <w:r w:rsidR="000B79A8" w:rsidRPr="000C2492">
        <w:rPr>
          <w:rFonts w:ascii="Times New Roman" w:hAnsi="Times New Roman" w:cs="Times New Roman"/>
          <w:sz w:val="24"/>
          <w:szCs w:val="24"/>
        </w:rPr>
        <w:t>as</w:t>
      </w:r>
      <w:r w:rsidR="00F03434">
        <w:rPr>
          <w:rFonts w:ascii="Times New Roman" w:hAnsi="Times New Roman" w:cs="Times New Roman"/>
          <w:sz w:val="24"/>
          <w:szCs w:val="24"/>
        </w:rPr>
        <w:t xml:space="preserve"> part of</w:t>
      </w:r>
      <w:r w:rsidR="000B79A8" w:rsidRPr="000C2492">
        <w:rPr>
          <w:rFonts w:ascii="Times New Roman" w:hAnsi="Times New Roman" w:cs="Times New Roman"/>
          <w:sz w:val="24"/>
          <w:szCs w:val="24"/>
        </w:rPr>
        <w:t xml:space="preserve"> evidence</w:t>
      </w:r>
      <w:r w:rsidR="00496776" w:rsidRPr="000C2492">
        <w:rPr>
          <w:rFonts w:ascii="Times New Roman" w:hAnsi="Times New Roman" w:cs="Times New Roman"/>
          <w:sz w:val="24"/>
          <w:szCs w:val="24"/>
        </w:rPr>
        <w:t>,</w:t>
      </w:r>
      <w:r w:rsidR="00F437FE" w:rsidRPr="000C2492">
        <w:rPr>
          <w:rFonts w:ascii="Times New Roman" w:hAnsi="Times New Roman" w:cs="Times New Roman"/>
          <w:sz w:val="24"/>
          <w:szCs w:val="24"/>
        </w:rPr>
        <w:t xml:space="preserve"> </w:t>
      </w:r>
      <w:r w:rsidR="00496776" w:rsidRPr="000C2492">
        <w:rPr>
          <w:rFonts w:ascii="Times New Roman" w:hAnsi="Times New Roman" w:cs="Times New Roman"/>
          <w:sz w:val="24"/>
          <w:szCs w:val="24"/>
        </w:rPr>
        <w:t xml:space="preserve">which will </w:t>
      </w:r>
      <w:r w:rsidR="000B79A8" w:rsidRPr="000C2492">
        <w:rPr>
          <w:rFonts w:ascii="Times New Roman" w:hAnsi="Times New Roman" w:cs="Times New Roman"/>
          <w:sz w:val="24"/>
          <w:szCs w:val="24"/>
        </w:rPr>
        <w:t xml:space="preserve">help you understand </w:t>
      </w:r>
      <w:r w:rsidR="00B65817" w:rsidRPr="000C2492">
        <w:rPr>
          <w:rFonts w:ascii="Times New Roman" w:hAnsi="Times New Roman" w:cs="Times New Roman"/>
          <w:sz w:val="24"/>
          <w:szCs w:val="24"/>
        </w:rPr>
        <w:t xml:space="preserve">when </w:t>
      </w:r>
      <w:r w:rsidR="00753933" w:rsidRPr="000C2492">
        <w:rPr>
          <w:rFonts w:ascii="Times New Roman" w:hAnsi="Times New Roman" w:cs="Times New Roman"/>
          <w:sz w:val="24"/>
          <w:szCs w:val="24"/>
        </w:rPr>
        <w:t xml:space="preserve">and how </w:t>
      </w:r>
      <w:r w:rsidR="00B65817" w:rsidRPr="000C2492">
        <w:rPr>
          <w:rFonts w:ascii="Times New Roman" w:hAnsi="Times New Roman" w:cs="Times New Roman"/>
          <w:sz w:val="24"/>
          <w:szCs w:val="24"/>
        </w:rPr>
        <w:t xml:space="preserve">your statements can </w:t>
      </w:r>
      <w:r w:rsidR="003B3A79" w:rsidRPr="000C2492">
        <w:rPr>
          <w:rFonts w:ascii="Times New Roman" w:hAnsi="Times New Roman" w:cs="Times New Roman"/>
          <w:sz w:val="24"/>
          <w:szCs w:val="24"/>
        </w:rPr>
        <w:t>(</w:t>
      </w:r>
      <w:r w:rsidR="00B65817" w:rsidRPr="000C2492">
        <w:rPr>
          <w:rFonts w:ascii="Times New Roman" w:hAnsi="Times New Roman" w:cs="Times New Roman"/>
          <w:sz w:val="24"/>
          <w:szCs w:val="24"/>
        </w:rPr>
        <w:t>or cannot</w:t>
      </w:r>
      <w:r w:rsidR="003B3A79" w:rsidRPr="000C2492">
        <w:rPr>
          <w:rFonts w:ascii="Times New Roman" w:hAnsi="Times New Roman" w:cs="Times New Roman"/>
          <w:sz w:val="24"/>
          <w:szCs w:val="24"/>
        </w:rPr>
        <w:t>)</w:t>
      </w:r>
      <w:r w:rsidR="00B65817" w:rsidRPr="000C2492">
        <w:rPr>
          <w:rFonts w:ascii="Times New Roman" w:hAnsi="Times New Roman" w:cs="Times New Roman"/>
          <w:sz w:val="24"/>
          <w:szCs w:val="24"/>
        </w:rPr>
        <w:t xml:space="preserve"> be used against you. In doing so, r</w:t>
      </w:r>
      <w:r w:rsidR="00E17EC8" w:rsidRPr="000C2492">
        <w:rPr>
          <w:rFonts w:ascii="Times New Roman" w:hAnsi="Times New Roman" w:cs="Times New Roman"/>
          <w:sz w:val="24"/>
          <w:szCs w:val="24"/>
        </w:rPr>
        <w:t xml:space="preserve">eference will be </w:t>
      </w:r>
      <w:proofErr w:type="spellStart"/>
      <w:r w:rsidR="00E17EC8" w:rsidRPr="000C2492">
        <w:rPr>
          <w:rFonts w:ascii="Times New Roman" w:hAnsi="Times New Roman" w:cs="Times New Roman"/>
          <w:sz w:val="24"/>
          <w:szCs w:val="24"/>
        </w:rPr>
        <w:t>had</w:t>
      </w:r>
      <w:proofErr w:type="spellEnd"/>
      <w:r w:rsidR="00E17EC8" w:rsidRPr="000C2492">
        <w:rPr>
          <w:rFonts w:ascii="Times New Roman" w:hAnsi="Times New Roman" w:cs="Times New Roman"/>
          <w:sz w:val="24"/>
          <w:szCs w:val="24"/>
        </w:rPr>
        <w:t xml:space="preserve"> to </w:t>
      </w:r>
      <w:r w:rsidR="00B65817" w:rsidRPr="000C2492">
        <w:rPr>
          <w:rFonts w:ascii="Times New Roman" w:hAnsi="Times New Roman" w:cs="Times New Roman"/>
          <w:sz w:val="24"/>
          <w:szCs w:val="24"/>
        </w:rPr>
        <w:t xml:space="preserve">the </w:t>
      </w:r>
      <w:r w:rsidR="00E17EC8" w:rsidRPr="000C2492">
        <w:rPr>
          <w:rFonts w:ascii="Times New Roman" w:hAnsi="Times New Roman" w:cs="Times New Roman"/>
          <w:sz w:val="24"/>
          <w:szCs w:val="24"/>
        </w:rPr>
        <w:t>Singapore’s Criminal Procedure Code (“</w:t>
      </w:r>
      <w:r w:rsidR="00E17EC8" w:rsidRPr="00B55BDD">
        <w:rPr>
          <w:rFonts w:ascii="Times New Roman" w:hAnsi="Times New Roman" w:cs="Times New Roman"/>
          <w:b/>
          <w:bCs/>
          <w:sz w:val="24"/>
          <w:szCs w:val="24"/>
        </w:rPr>
        <w:t>CPC</w:t>
      </w:r>
      <w:r w:rsidR="00E17EC8" w:rsidRPr="000C2492">
        <w:rPr>
          <w:rFonts w:ascii="Times New Roman" w:hAnsi="Times New Roman" w:cs="Times New Roman"/>
          <w:sz w:val="24"/>
          <w:szCs w:val="24"/>
        </w:rPr>
        <w:t>”)</w:t>
      </w:r>
      <w:r w:rsidR="00B9405B" w:rsidRPr="000C2492">
        <w:rPr>
          <w:rFonts w:ascii="Times New Roman" w:hAnsi="Times New Roman" w:cs="Times New Roman"/>
          <w:sz w:val="24"/>
          <w:szCs w:val="24"/>
          <w:vertAlign w:val="superscript"/>
        </w:rPr>
        <w:footnoteReference w:id="6"/>
      </w:r>
      <w:r w:rsidR="00E17EC8" w:rsidRPr="000C2492">
        <w:rPr>
          <w:rFonts w:ascii="Times New Roman" w:hAnsi="Times New Roman" w:cs="Times New Roman"/>
          <w:sz w:val="24"/>
          <w:szCs w:val="24"/>
        </w:rPr>
        <w:t xml:space="preserve"> and the relevant </w:t>
      </w:r>
      <w:r w:rsidR="000D77CC">
        <w:rPr>
          <w:rFonts w:ascii="Times New Roman" w:hAnsi="Times New Roman" w:cs="Times New Roman"/>
          <w:sz w:val="24"/>
          <w:szCs w:val="24"/>
        </w:rPr>
        <w:t>judgments</w:t>
      </w:r>
      <w:r w:rsidR="00B65817" w:rsidRPr="000C2492">
        <w:rPr>
          <w:rFonts w:ascii="Times New Roman" w:hAnsi="Times New Roman" w:cs="Times New Roman"/>
          <w:sz w:val="24"/>
          <w:szCs w:val="24"/>
        </w:rPr>
        <w:t>, which govern how statements are recorded</w:t>
      </w:r>
      <w:r w:rsidR="00D05A05" w:rsidRPr="000C2492">
        <w:rPr>
          <w:rFonts w:ascii="Times New Roman" w:hAnsi="Times New Roman" w:cs="Times New Roman"/>
          <w:sz w:val="24"/>
          <w:szCs w:val="24"/>
        </w:rPr>
        <w:t xml:space="preserve"> and used by our courts</w:t>
      </w:r>
      <w:r w:rsidR="00E17EC8" w:rsidRPr="000C2492">
        <w:rPr>
          <w:rFonts w:ascii="Times New Roman" w:hAnsi="Times New Roman" w:cs="Times New Roman"/>
          <w:sz w:val="24"/>
          <w:szCs w:val="24"/>
        </w:rPr>
        <w:t>.</w:t>
      </w:r>
    </w:p>
    <w:p w14:paraId="0327FFE8" w14:textId="77777777" w:rsidR="007B61BA" w:rsidRPr="000C2492" w:rsidRDefault="007B61BA" w:rsidP="000C2492">
      <w:pPr>
        <w:jc w:val="both"/>
        <w:rPr>
          <w:rFonts w:ascii="Times New Roman" w:hAnsi="Times New Roman" w:cs="Times New Roman"/>
          <w:sz w:val="24"/>
          <w:szCs w:val="24"/>
        </w:rPr>
      </w:pPr>
    </w:p>
    <w:p w14:paraId="256A6417" w14:textId="16445BD6" w:rsidR="00DD22F5" w:rsidRPr="000C2492" w:rsidRDefault="00E17EC8" w:rsidP="000C2492">
      <w:pPr>
        <w:pStyle w:val="Heading1"/>
        <w:jc w:val="both"/>
        <w:rPr>
          <w:rFonts w:cs="Times New Roman"/>
          <w:sz w:val="24"/>
          <w:szCs w:val="24"/>
        </w:rPr>
      </w:pPr>
      <w:r w:rsidRPr="000C2492">
        <w:rPr>
          <w:rFonts w:cs="Times New Roman"/>
          <w:sz w:val="24"/>
          <w:szCs w:val="24"/>
        </w:rPr>
        <w:t>Types of statements</w:t>
      </w:r>
    </w:p>
    <w:p w14:paraId="5474F1D3" w14:textId="0FD55E64" w:rsidR="00F437FE" w:rsidRPr="000C2492" w:rsidRDefault="00A719EF" w:rsidP="000C2492">
      <w:pPr>
        <w:jc w:val="both"/>
        <w:rPr>
          <w:rFonts w:ascii="Times New Roman" w:hAnsi="Times New Roman" w:cs="Times New Roman"/>
          <w:sz w:val="24"/>
          <w:szCs w:val="24"/>
        </w:rPr>
      </w:pPr>
      <w:r w:rsidRPr="000C2492">
        <w:rPr>
          <w:rFonts w:ascii="Times New Roman" w:hAnsi="Times New Roman" w:cs="Times New Roman"/>
          <w:sz w:val="24"/>
          <w:szCs w:val="24"/>
        </w:rPr>
        <w:lastRenderedPageBreak/>
        <w:t>T</w:t>
      </w:r>
      <w:r w:rsidR="00F437FE" w:rsidRPr="000C2492">
        <w:rPr>
          <w:rFonts w:ascii="Times New Roman" w:hAnsi="Times New Roman" w:cs="Times New Roman"/>
          <w:sz w:val="24"/>
          <w:szCs w:val="24"/>
        </w:rPr>
        <w:t xml:space="preserve">here are two types of statements </w:t>
      </w:r>
      <w:r w:rsidR="00493666" w:rsidRPr="000C2492">
        <w:rPr>
          <w:rFonts w:ascii="Times New Roman" w:hAnsi="Times New Roman" w:cs="Times New Roman"/>
          <w:sz w:val="24"/>
          <w:szCs w:val="24"/>
        </w:rPr>
        <w:t xml:space="preserve">that are </w:t>
      </w:r>
      <w:r w:rsidR="00F437FE" w:rsidRPr="000C2492">
        <w:rPr>
          <w:rFonts w:ascii="Times New Roman" w:hAnsi="Times New Roman" w:cs="Times New Roman"/>
          <w:sz w:val="24"/>
          <w:szCs w:val="24"/>
        </w:rPr>
        <w:t>taken during police investigations</w:t>
      </w:r>
      <w:r w:rsidR="00392D90" w:rsidRPr="000C2492">
        <w:rPr>
          <w:rFonts w:ascii="Times New Roman" w:hAnsi="Times New Roman" w:cs="Times New Roman"/>
          <w:sz w:val="24"/>
          <w:szCs w:val="24"/>
        </w:rPr>
        <w:t>.</w:t>
      </w:r>
      <w:r w:rsidR="00616B50" w:rsidRPr="000C2492">
        <w:rPr>
          <w:rFonts w:ascii="Times New Roman" w:hAnsi="Times New Roman" w:cs="Times New Roman"/>
          <w:sz w:val="24"/>
          <w:szCs w:val="24"/>
        </w:rPr>
        <w:t xml:space="preserve"> </w:t>
      </w:r>
      <w:r w:rsidR="00392D90" w:rsidRPr="000C2492">
        <w:rPr>
          <w:rFonts w:ascii="Times New Roman" w:hAnsi="Times New Roman" w:cs="Times New Roman"/>
          <w:sz w:val="24"/>
          <w:szCs w:val="24"/>
        </w:rPr>
        <w:t xml:space="preserve">These </w:t>
      </w:r>
      <w:r w:rsidR="00616B50" w:rsidRPr="000C2492">
        <w:rPr>
          <w:rFonts w:ascii="Times New Roman" w:hAnsi="Times New Roman" w:cs="Times New Roman"/>
          <w:sz w:val="24"/>
          <w:szCs w:val="24"/>
        </w:rPr>
        <w:t xml:space="preserve">are provided for under </w:t>
      </w:r>
      <w:r w:rsidR="00F60079">
        <w:rPr>
          <w:rFonts w:ascii="Times New Roman" w:hAnsi="Times New Roman" w:cs="Times New Roman"/>
          <w:sz w:val="24"/>
          <w:szCs w:val="24"/>
        </w:rPr>
        <w:t>s</w:t>
      </w:r>
      <w:r w:rsidR="00616B50" w:rsidRPr="000C2492">
        <w:rPr>
          <w:rFonts w:ascii="Times New Roman" w:hAnsi="Times New Roman" w:cs="Times New Roman"/>
          <w:sz w:val="24"/>
          <w:szCs w:val="24"/>
        </w:rPr>
        <w:t xml:space="preserve">ection 22 and </w:t>
      </w:r>
      <w:r w:rsidR="00F60079">
        <w:rPr>
          <w:rFonts w:ascii="Times New Roman" w:hAnsi="Times New Roman" w:cs="Times New Roman"/>
          <w:sz w:val="24"/>
          <w:szCs w:val="24"/>
        </w:rPr>
        <w:t>s</w:t>
      </w:r>
      <w:r w:rsidR="00616B50" w:rsidRPr="000C2492">
        <w:rPr>
          <w:rFonts w:ascii="Times New Roman" w:hAnsi="Times New Roman" w:cs="Times New Roman"/>
          <w:sz w:val="24"/>
          <w:szCs w:val="24"/>
        </w:rPr>
        <w:t>ection 23</w:t>
      </w:r>
      <w:r w:rsidR="00F70A37" w:rsidRPr="000C2492">
        <w:rPr>
          <w:rFonts w:ascii="Times New Roman" w:hAnsi="Times New Roman" w:cs="Times New Roman"/>
          <w:sz w:val="24"/>
          <w:szCs w:val="24"/>
        </w:rPr>
        <w:t xml:space="preserve"> of the CPC</w:t>
      </w:r>
      <w:r w:rsidR="00DF047A" w:rsidRPr="000C2492">
        <w:rPr>
          <w:rFonts w:ascii="Times New Roman" w:hAnsi="Times New Roman" w:cs="Times New Roman"/>
          <w:sz w:val="24"/>
          <w:szCs w:val="24"/>
        </w:rPr>
        <w:t>.</w:t>
      </w:r>
      <w:r w:rsidR="00DF047A" w:rsidRPr="000C2492">
        <w:rPr>
          <w:rFonts w:ascii="Times New Roman" w:hAnsi="Times New Roman" w:cs="Times New Roman"/>
          <w:sz w:val="24"/>
          <w:szCs w:val="24"/>
          <w:vertAlign w:val="superscript"/>
        </w:rPr>
        <w:footnoteReference w:id="7"/>
      </w:r>
    </w:p>
    <w:p w14:paraId="187148CC" w14:textId="3EEAE962" w:rsidR="002C5421" w:rsidRPr="000C2492" w:rsidRDefault="002C5421" w:rsidP="000C2492">
      <w:pPr>
        <w:jc w:val="both"/>
        <w:rPr>
          <w:rFonts w:ascii="Times New Roman" w:hAnsi="Times New Roman" w:cs="Times New Roman"/>
          <w:sz w:val="24"/>
          <w:szCs w:val="24"/>
        </w:rPr>
      </w:pPr>
    </w:p>
    <w:p w14:paraId="107A5586" w14:textId="4762B783" w:rsidR="00E17EC8" w:rsidRPr="000C2492" w:rsidRDefault="00E17EC8" w:rsidP="000C2492">
      <w:pPr>
        <w:pStyle w:val="Heading2"/>
        <w:jc w:val="both"/>
        <w:rPr>
          <w:sz w:val="24"/>
          <w:szCs w:val="24"/>
        </w:rPr>
      </w:pPr>
      <w:r w:rsidRPr="000C2492">
        <w:rPr>
          <w:sz w:val="24"/>
          <w:szCs w:val="24"/>
        </w:rPr>
        <w:t>Statement</w:t>
      </w:r>
      <w:r w:rsidR="00A039A2">
        <w:rPr>
          <w:sz w:val="24"/>
          <w:szCs w:val="24"/>
        </w:rPr>
        <w:t>s</w:t>
      </w:r>
      <w:r w:rsidRPr="000C2492">
        <w:rPr>
          <w:sz w:val="24"/>
          <w:szCs w:val="24"/>
        </w:rPr>
        <w:t xml:space="preserve"> under </w:t>
      </w:r>
      <w:r w:rsidR="00F66E27" w:rsidRPr="000C2492">
        <w:rPr>
          <w:sz w:val="24"/>
          <w:szCs w:val="24"/>
        </w:rPr>
        <w:t xml:space="preserve">Section 22 </w:t>
      </w:r>
      <w:r w:rsidR="00F66E27">
        <w:rPr>
          <w:sz w:val="24"/>
          <w:szCs w:val="24"/>
        </w:rPr>
        <w:t xml:space="preserve">of the </w:t>
      </w:r>
      <w:r w:rsidRPr="000C2492">
        <w:rPr>
          <w:sz w:val="24"/>
          <w:szCs w:val="24"/>
        </w:rPr>
        <w:t xml:space="preserve">CPC </w:t>
      </w:r>
    </w:p>
    <w:p w14:paraId="53AEAC62" w14:textId="36E620FA" w:rsidR="0045322B" w:rsidRPr="000C2492" w:rsidRDefault="00426452" w:rsidP="000C2492">
      <w:pPr>
        <w:jc w:val="both"/>
        <w:rPr>
          <w:rFonts w:ascii="Times New Roman" w:hAnsi="Times New Roman" w:cs="Times New Roman"/>
          <w:sz w:val="24"/>
          <w:szCs w:val="24"/>
        </w:rPr>
      </w:pPr>
      <w:r w:rsidRPr="000C2492">
        <w:rPr>
          <w:rFonts w:ascii="Times New Roman" w:hAnsi="Times New Roman" w:cs="Times New Roman"/>
          <w:sz w:val="24"/>
          <w:szCs w:val="24"/>
        </w:rPr>
        <w:t xml:space="preserve">The first </w:t>
      </w:r>
      <w:r w:rsidR="00FA0398" w:rsidRPr="000C2492">
        <w:rPr>
          <w:rFonts w:ascii="Times New Roman" w:hAnsi="Times New Roman" w:cs="Times New Roman"/>
          <w:sz w:val="24"/>
          <w:szCs w:val="24"/>
        </w:rPr>
        <w:t xml:space="preserve">type of statement that can be taken by law enforcement </w:t>
      </w:r>
      <w:r w:rsidRPr="000C2492">
        <w:rPr>
          <w:rFonts w:ascii="Times New Roman" w:hAnsi="Times New Roman" w:cs="Times New Roman"/>
          <w:sz w:val="24"/>
          <w:szCs w:val="24"/>
        </w:rPr>
        <w:t xml:space="preserve">during investigations </w:t>
      </w:r>
      <w:r w:rsidR="008A5DE1">
        <w:rPr>
          <w:rFonts w:ascii="Times New Roman" w:hAnsi="Times New Roman" w:cs="Times New Roman"/>
          <w:sz w:val="24"/>
          <w:szCs w:val="24"/>
        </w:rPr>
        <w:t>comes</w:t>
      </w:r>
      <w:r w:rsidR="008A5DE1" w:rsidRPr="000C2492">
        <w:rPr>
          <w:rFonts w:ascii="Times New Roman" w:hAnsi="Times New Roman" w:cs="Times New Roman"/>
          <w:sz w:val="24"/>
          <w:szCs w:val="24"/>
        </w:rPr>
        <w:t xml:space="preserve"> </w:t>
      </w:r>
      <w:r w:rsidR="00D93AA5">
        <w:rPr>
          <w:rFonts w:ascii="Times New Roman" w:hAnsi="Times New Roman" w:cs="Times New Roman"/>
          <w:sz w:val="24"/>
          <w:szCs w:val="24"/>
        </w:rPr>
        <w:t>under section 22</w:t>
      </w:r>
      <w:r w:rsidR="002B59C4" w:rsidRPr="002B59C4">
        <w:rPr>
          <w:rFonts w:ascii="Times New Roman" w:hAnsi="Times New Roman" w:cs="Times New Roman"/>
          <w:sz w:val="24"/>
          <w:szCs w:val="24"/>
        </w:rPr>
        <w:t xml:space="preserve"> </w:t>
      </w:r>
      <w:r w:rsidR="002B59C4" w:rsidRPr="000C2492">
        <w:rPr>
          <w:rFonts w:ascii="Times New Roman" w:hAnsi="Times New Roman" w:cs="Times New Roman"/>
          <w:sz w:val="24"/>
          <w:szCs w:val="24"/>
        </w:rPr>
        <w:t>of the CPC</w:t>
      </w:r>
      <w:r w:rsidR="00FA0398" w:rsidRPr="000C2492">
        <w:rPr>
          <w:rFonts w:ascii="Times New Roman" w:hAnsi="Times New Roman" w:cs="Times New Roman"/>
          <w:sz w:val="24"/>
          <w:szCs w:val="24"/>
        </w:rPr>
        <w:t xml:space="preserve">. </w:t>
      </w:r>
      <w:r w:rsidR="00F671E9" w:rsidRPr="000C2492">
        <w:rPr>
          <w:rFonts w:ascii="Times New Roman" w:hAnsi="Times New Roman" w:cs="Times New Roman"/>
          <w:sz w:val="24"/>
          <w:szCs w:val="24"/>
        </w:rPr>
        <w:t xml:space="preserve">Section 22(1) </w:t>
      </w:r>
      <w:r w:rsidR="00FE2CD2">
        <w:rPr>
          <w:rFonts w:ascii="Times New Roman" w:hAnsi="Times New Roman" w:cs="Times New Roman"/>
          <w:sz w:val="24"/>
          <w:szCs w:val="24"/>
        </w:rPr>
        <w:t>stipulates</w:t>
      </w:r>
      <w:r w:rsidR="00F671E9" w:rsidRPr="000C2492">
        <w:rPr>
          <w:rFonts w:ascii="Times New Roman" w:hAnsi="Times New Roman" w:cs="Times New Roman"/>
          <w:sz w:val="24"/>
          <w:szCs w:val="24"/>
        </w:rPr>
        <w:t xml:space="preserve"> that investigation officers may interview and record the statement of any person who “appears to be acquainted with any facts and circumstances of the case”.</w:t>
      </w:r>
      <w:r w:rsidR="00F671E9" w:rsidRPr="000C2492">
        <w:rPr>
          <w:rStyle w:val="FootnoteReference"/>
          <w:rFonts w:ascii="Times New Roman" w:hAnsi="Times New Roman" w:cs="Times New Roman"/>
          <w:sz w:val="24"/>
          <w:szCs w:val="24"/>
        </w:rPr>
        <w:footnoteReference w:id="8"/>
      </w:r>
      <w:r w:rsidR="00F671E9" w:rsidRPr="000C2492">
        <w:rPr>
          <w:rFonts w:ascii="Times New Roman" w:hAnsi="Times New Roman" w:cs="Times New Roman"/>
          <w:sz w:val="24"/>
          <w:szCs w:val="24"/>
        </w:rPr>
        <w:t xml:space="preserve"> </w:t>
      </w:r>
      <w:r w:rsidR="00B37489">
        <w:rPr>
          <w:rFonts w:ascii="Times New Roman" w:hAnsi="Times New Roman" w:cs="Times New Roman"/>
          <w:sz w:val="24"/>
          <w:szCs w:val="24"/>
        </w:rPr>
        <w:t>During such an</w:t>
      </w:r>
      <w:r w:rsidR="00B37489" w:rsidRPr="000C2492">
        <w:rPr>
          <w:rFonts w:ascii="Times New Roman" w:hAnsi="Times New Roman" w:cs="Times New Roman"/>
          <w:sz w:val="24"/>
          <w:szCs w:val="24"/>
        </w:rPr>
        <w:t xml:space="preserve"> </w:t>
      </w:r>
      <w:r w:rsidR="00314D7B" w:rsidRPr="000C2492">
        <w:rPr>
          <w:rFonts w:ascii="Times New Roman" w:hAnsi="Times New Roman" w:cs="Times New Roman"/>
          <w:sz w:val="24"/>
          <w:szCs w:val="24"/>
        </w:rPr>
        <w:t>interview</w:t>
      </w:r>
      <w:r w:rsidR="00E17EC8" w:rsidRPr="000C2492">
        <w:rPr>
          <w:rFonts w:ascii="Times New Roman" w:hAnsi="Times New Roman" w:cs="Times New Roman"/>
          <w:sz w:val="24"/>
          <w:szCs w:val="24"/>
        </w:rPr>
        <w:t xml:space="preserve">, </w:t>
      </w:r>
      <w:r w:rsidR="00314D7B" w:rsidRPr="000C2492">
        <w:rPr>
          <w:rFonts w:ascii="Times New Roman" w:hAnsi="Times New Roman" w:cs="Times New Roman"/>
          <w:sz w:val="24"/>
          <w:szCs w:val="24"/>
        </w:rPr>
        <w:t>a</w:t>
      </w:r>
      <w:r w:rsidR="00BA0967" w:rsidRPr="000C2492">
        <w:rPr>
          <w:rFonts w:ascii="Times New Roman" w:hAnsi="Times New Roman" w:cs="Times New Roman"/>
          <w:sz w:val="24"/>
          <w:szCs w:val="24"/>
        </w:rPr>
        <w:t xml:space="preserve">n individual </w:t>
      </w:r>
      <w:r w:rsidR="00E17EC8" w:rsidRPr="000C2492">
        <w:rPr>
          <w:rFonts w:ascii="Times New Roman" w:hAnsi="Times New Roman" w:cs="Times New Roman"/>
          <w:sz w:val="24"/>
          <w:szCs w:val="24"/>
        </w:rPr>
        <w:t xml:space="preserve">must state </w:t>
      </w:r>
      <w:r w:rsidR="002D2FCC">
        <w:rPr>
          <w:rFonts w:ascii="Times New Roman" w:hAnsi="Times New Roman" w:cs="Times New Roman"/>
          <w:sz w:val="24"/>
          <w:szCs w:val="24"/>
        </w:rPr>
        <w:t xml:space="preserve">what </w:t>
      </w:r>
      <w:r w:rsidR="003B1EF5">
        <w:rPr>
          <w:rFonts w:ascii="Times New Roman" w:hAnsi="Times New Roman" w:cs="Times New Roman"/>
          <w:sz w:val="24"/>
          <w:szCs w:val="24"/>
        </w:rPr>
        <w:t xml:space="preserve">he/she </w:t>
      </w:r>
      <w:r w:rsidR="00B517BA">
        <w:rPr>
          <w:rFonts w:ascii="Times New Roman" w:hAnsi="Times New Roman" w:cs="Times New Roman"/>
          <w:sz w:val="24"/>
          <w:szCs w:val="24"/>
        </w:rPr>
        <w:t xml:space="preserve">understands </w:t>
      </w:r>
      <w:r w:rsidR="002D2FCC">
        <w:rPr>
          <w:rFonts w:ascii="Times New Roman" w:hAnsi="Times New Roman" w:cs="Times New Roman"/>
          <w:sz w:val="24"/>
          <w:szCs w:val="24"/>
        </w:rPr>
        <w:t xml:space="preserve">to be </w:t>
      </w:r>
      <w:r w:rsidR="004E48C8">
        <w:rPr>
          <w:rFonts w:ascii="Times New Roman" w:hAnsi="Times New Roman" w:cs="Times New Roman"/>
          <w:sz w:val="24"/>
          <w:szCs w:val="24"/>
        </w:rPr>
        <w:t>the truth</w:t>
      </w:r>
      <w:r w:rsidR="00E17EC8" w:rsidRPr="000C2492">
        <w:rPr>
          <w:rFonts w:ascii="Times New Roman" w:hAnsi="Times New Roman" w:cs="Times New Roman"/>
          <w:sz w:val="24"/>
          <w:szCs w:val="24"/>
        </w:rPr>
        <w:t xml:space="preserve">. </w:t>
      </w:r>
      <w:r w:rsidR="00A947A5" w:rsidRPr="000C2492">
        <w:rPr>
          <w:rFonts w:ascii="Times New Roman" w:hAnsi="Times New Roman" w:cs="Times New Roman"/>
          <w:sz w:val="24"/>
          <w:szCs w:val="24"/>
        </w:rPr>
        <w:t>Lying</w:t>
      </w:r>
      <w:r w:rsidR="00BA0967" w:rsidRPr="000C2492">
        <w:rPr>
          <w:rFonts w:ascii="Times New Roman" w:hAnsi="Times New Roman" w:cs="Times New Roman"/>
          <w:sz w:val="24"/>
          <w:szCs w:val="24"/>
        </w:rPr>
        <w:t xml:space="preserve"> m</w:t>
      </w:r>
      <w:r w:rsidR="004D0F01">
        <w:rPr>
          <w:rFonts w:ascii="Times New Roman" w:hAnsi="Times New Roman" w:cs="Times New Roman"/>
          <w:sz w:val="24"/>
          <w:szCs w:val="24"/>
        </w:rPr>
        <w:t>ay</w:t>
      </w:r>
      <w:r w:rsidR="00BA0967" w:rsidRPr="000C2492">
        <w:rPr>
          <w:rFonts w:ascii="Times New Roman" w:hAnsi="Times New Roman" w:cs="Times New Roman"/>
          <w:sz w:val="24"/>
          <w:szCs w:val="24"/>
        </w:rPr>
        <w:t xml:space="preserve"> amount to the giving or fabricating of false evidence, which is a crime.</w:t>
      </w:r>
      <w:r w:rsidR="00BA0967" w:rsidRPr="000C2492">
        <w:rPr>
          <w:rFonts w:ascii="Times New Roman" w:hAnsi="Times New Roman" w:cs="Times New Roman"/>
          <w:sz w:val="24"/>
          <w:szCs w:val="24"/>
          <w:vertAlign w:val="superscript"/>
        </w:rPr>
        <w:footnoteReference w:id="9"/>
      </w:r>
      <w:r w:rsidR="00BA0967" w:rsidRPr="000C2492">
        <w:rPr>
          <w:rFonts w:ascii="Times New Roman" w:hAnsi="Times New Roman" w:cs="Times New Roman"/>
          <w:sz w:val="24"/>
          <w:szCs w:val="24"/>
        </w:rPr>
        <w:t xml:space="preserve"> </w:t>
      </w:r>
      <w:r w:rsidR="00E17EC8" w:rsidRPr="000C2492">
        <w:rPr>
          <w:rFonts w:ascii="Times New Roman" w:hAnsi="Times New Roman" w:cs="Times New Roman"/>
          <w:sz w:val="24"/>
          <w:szCs w:val="24"/>
        </w:rPr>
        <w:t xml:space="preserve">However, </w:t>
      </w:r>
      <w:r w:rsidR="00BA0967" w:rsidRPr="000C2492">
        <w:rPr>
          <w:rFonts w:ascii="Times New Roman" w:hAnsi="Times New Roman" w:cs="Times New Roman"/>
          <w:sz w:val="24"/>
          <w:szCs w:val="24"/>
        </w:rPr>
        <w:t xml:space="preserve">an individual </w:t>
      </w:r>
      <w:r w:rsidR="00E17EC8" w:rsidRPr="000C2492">
        <w:rPr>
          <w:rFonts w:ascii="Times New Roman" w:hAnsi="Times New Roman" w:cs="Times New Roman"/>
          <w:sz w:val="24"/>
          <w:szCs w:val="24"/>
        </w:rPr>
        <w:t>is not required to state information that might expose him to a criminal charge or sanction.</w:t>
      </w:r>
      <w:r w:rsidR="00E17EC8" w:rsidRPr="000C2492">
        <w:rPr>
          <w:rFonts w:ascii="Times New Roman" w:hAnsi="Times New Roman" w:cs="Times New Roman"/>
          <w:sz w:val="24"/>
          <w:szCs w:val="24"/>
          <w:vertAlign w:val="superscript"/>
        </w:rPr>
        <w:footnoteReference w:id="10"/>
      </w:r>
      <w:r w:rsidR="00E17EC8" w:rsidRPr="000C2492">
        <w:rPr>
          <w:rFonts w:ascii="Times New Roman" w:hAnsi="Times New Roman" w:cs="Times New Roman"/>
          <w:sz w:val="24"/>
          <w:szCs w:val="24"/>
        </w:rPr>
        <w:t xml:space="preserve"> This partly reflects the privilege against self-incrimination.</w:t>
      </w:r>
      <w:r w:rsidR="00E17EC8" w:rsidRPr="000C2492">
        <w:rPr>
          <w:rFonts w:ascii="Times New Roman" w:hAnsi="Times New Roman" w:cs="Times New Roman"/>
          <w:sz w:val="24"/>
          <w:szCs w:val="24"/>
          <w:vertAlign w:val="superscript"/>
        </w:rPr>
        <w:footnoteReference w:id="11"/>
      </w:r>
    </w:p>
    <w:p w14:paraId="5CE6931D" w14:textId="77777777" w:rsidR="002B5DF7" w:rsidRDefault="002B5DF7" w:rsidP="000C2492">
      <w:pPr>
        <w:jc w:val="both"/>
        <w:rPr>
          <w:rFonts w:ascii="Times New Roman" w:hAnsi="Times New Roman" w:cs="Times New Roman"/>
          <w:sz w:val="24"/>
          <w:szCs w:val="24"/>
        </w:rPr>
      </w:pPr>
    </w:p>
    <w:p w14:paraId="5B04048C" w14:textId="52239C2F" w:rsidR="00B318D5" w:rsidRPr="000C2492" w:rsidRDefault="00B653E5" w:rsidP="000C2492">
      <w:pPr>
        <w:jc w:val="both"/>
        <w:rPr>
          <w:rFonts w:ascii="Times New Roman" w:hAnsi="Times New Roman" w:cs="Times New Roman"/>
          <w:sz w:val="24"/>
          <w:szCs w:val="24"/>
        </w:rPr>
      </w:pPr>
      <w:r>
        <w:rPr>
          <w:rFonts w:ascii="Times New Roman" w:hAnsi="Times New Roman" w:cs="Times New Roman"/>
          <w:sz w:val="24"/>
          <w:szCs w:val="24"/>
        </w:rPr>
        <w:t xml:space="preserve">Unfortunately, </w:t>
      </w:r>
      <w:r w:rsidR="008E458C">
        <w:rPr>
          <w:rFonts w:ascii="Times New Roman" w:hAnsi="Times New Roman" w:cs="Times New Roman"/>
          <w:sz w:val="24"/>
          <w:szCs w:val="24"/>
        </w:rPr>
        <w:t>s</w:t>
      </w:r>
      <w:r w:rsidR="00F671E9" w:rsidRPr="000C2492">
        <w:rPr>
          <w:rFonts w:ascii="Times New Roman" w:hAnsi="Times New Roman" w:cs="Times New Roman"/>
          <w:sz w:val="24"/>
          <w:szCs w:val="24"/>
        </w:rPr>
        <w:t xml:space="preserve">ection 22 statements </w:t>
      </w:r>
      <w:r w:rsidR="002402AD">
        <w:rPr>
          <w:rFonts w:ascii="Times New Roman" w:hAnsi="Times New Roman" w:cs="Times New Roman"/>
          <w:sz w:val="24"/>
          <w:szCs w:val="24"/>
        </w:rPr>
        <w:t xml:space="preserve">suffer from </w:t>
      </w:r>
      <w:r w:rsidR="006960EF">
        <w:rPr>
          <w:rFonts w:ascii="Times New Roman" w:hAnsi="Times New Roman" w:cs="Times New Roman"/>
          <w:sz w:val="24"/>
          <w:szCs w:val="24"/>
        </w:rPr>
        <w:t>certain terminology issues</w:t>
      </w:r>
      <w:r w:rsidR="002402AD">
        <w:rPr>
          <w:rFonts w:ascii="Times New Roman" w:hAnsi="Times New Roman" w:cs="Times New Roman"/>
          <w:sz w:val="24"/>
          <w:szCs w:val="24"/>
        </w:rPr>
        <w:t xml:space="preserve">. Although they </w:t>
      </w:r>
      <w:r w:rsidR="00F671E9" w:rsidRPr="000C2492">
        <w:rPr>
          <w:rFonts w:ascii="Times New Roman" w:hAnsi="Times New Roman" w:cs="Times New Roman"/>
          <w:sz w:val="24"/>
          <w:szCs w:val="24"/>
        </w:rPr>
        <w:t>are often called “investigation statements”</w:t>
      </w:r>
      <w:r w:rsidR="002402AD">
        <w:rPr>
          <w:rFonts w:ascii="Times New Roman" w:hAnsi="Times New Roman" w:cs="Times New Roman"/>
          <w:sz w:val="24"/>
          <w:szCs w:val="24"/>
        </w:rPr>
        <w:t>,</w:t>
      </w:r>
      <w:r w:rsidR="00F671E9" w:rsidRPr="000C2492">
        <w:rPr>
          <w:rFonts w:ascii="Times New Roman" w:hAnsi="Times New Roman" w:cs="Times New Roman"/>
          <w:sz w:val="24"/>
          <w:szCs w:val="24"/>
          <w:vertAlign w:val="superscript"/>
        </w:rPr>
        <w:footnoteReference w:id="12"/>
      </w:r>
      <w:r w:rsidR="00F671E9" w:rsidRPr="000C2492">
        <w:rPr>
          <w:rFonts w:ascii="Times New Roman" w:hAnsi="Times New Roman" w:cs="Times New Roman"/>
          <w:sz w:val="24"/>
          <w:szCs w:val="24"/>
        </w:rPr>
        <w:t xml:space="preserve"> </w:t>
      </w:r>
      <w:r w:rsidR="00DE3435">
        <w:rPr>
          <w:rFonts w:ascii="Times New Roman" w:hAnsi="Times New Roman" w:cs="Times New Roman"/>
          <w:sz w:val="24"/>
          <w:szCs w:val="24"/>
        </w:rPr>
        <w:t xml:space="preserve">other </w:t>
      </w:r>
      <w:r w:rsidR="00516B73">
        <w:rPr>
          <w:rFonts w:ascii="Times New Roman" w:hAnsi="Times New Roman" w:cs="Times New Roman"/>
          <w:sz w:val="24"/>
          <w:szCs w:val="24"/>
        </w:rPr>
        <w:t xml:space="preserve">types of </w:t>
      </w:r>
      <w:r w:rsidR="002402AD">
        <w:rPr>
          <w:rFonts w:ascii="Times New Roman" w:hAnsi="Times New Roman" w:cs="Times New Roman"/>
          <w:sz w:val="24"/>
          <w:szCs w:val="24"/>
        </w:rPr>
        <w:t>statements</w:t>
      </w:r>
      <w:r w:rsidR="00DE3435">
        <w:rPr>
          <w:rFonts w:ascii="Times New Roman" w:hAnsi="Times New Roman" w:cs="Times New Roman"/>
          <w:sz w:val="24"/>
          <w:szCs w:val="24"/>
        </w:rPr>
        <w:t xml:space="preserve"> </w:t>
      </w:r>
      <w:r w:rsidR="00B74AA1">
        <w:rPr>
          <w:rFonts w:ascii="Times New Roman" w:hAnsi="Times New Roman" w:cs="Times New Roman"/>
          <w:sz w:val="24"/>
          <w:szCs w:val="24"/>
        </w:rPr>
        <w:t xml:space="preserve">(e.g. </w:t>
      </w:r>
      <w:r w:rsidR="002752FF">
        <w:rPr>
          <w:rFonts w:ascii="Times New Roman" w:hAnsi="Times New Roman" w:cs="Times New Roman"/>
          <w:sz w:val="24"/>
          <w:szCs w:val="24"/>
        </w:rPr>
        <w:t>under s</w:t>
      </w:r>
      <w:r w:rsidR="00B74AA1">
        <w:rPr>
          <w:rFonts w:ascii="Times New Roman" w:hAnsi="Times New Roman" w:cs="Times New Roman"/>
          <w:sz w:val="24"/>
          <w:szCs w:val="24"/>
        </w:rPr>
        <w:t xml:space="preserve">ection 23) </w:t>
      </w:r>
      <w:r w:rsidR="002402AD">
        <w:rPr>
          <w:rFonts w:ascii="Times New Roman" w:hAnsi="Times New Roman" w:cs="Times New Roman"/>
          <w:sz w:val="24"/>
          <w:szCs w:val="24"/>
        </w:rPr>
        <w:t>are also taken during investigations.</w:t>
      </w:r>
      <w:r w:rsidR="002402AD">
        <w:rPr>
          <w:rStyle w:val="FootnoteReference"/>
          <w:rFonts w:ascii="Times New Roman" w:hAnsi="Times New Roman" w:cs="Times New Roman"/>
          <w:sz w:val="24"/>
          <w:szCs w:val="24"/>
        </w:rPr>
        <w:footnoteReference w:id="13"/>
      </w:r>
      <w:r w:rsidR="002402AD">
        <w:rPr>
          <w:rFonts w:ascii="Times New Roman" w:hAnsi="Times New Roman" w:cs="Times New Roman"/>
          <w:sz w:val="24"/>
          <w:szCs w:val="24"/>
        </w:rPr>
        <w:t xml:space="preserve"> </w:t>
      </w:r>
      <w:r w:rsidR="004D0F01">
        <w:rPr>
          <w:rFonts w:ascii="Times New Roman" w:hAnsi="Times New Roman" w:cs="Times New Roman"/>
          <w:sz w:val="24"/>
          <w:szCs w:val="24"/>
        </w:rPr>
        <w:t>While</w:t>
      </w:r>
      <w:r w:rsidR="00D93AA5">
        <w:rPr>
          <w:rFonts w:ascii="Times New Roman" w:hAnsi="Times New Roman" w:cs="Times New Roman"/>
          <w:sz w:val="24"/>
          <w:szCs w:val="24"/>
        </w:rPr>
        <w:t xml:space="preserve"> they might</w:t>
      </w:r>
      <w:r w:rsidR="00B32DF8">
        <w:rPr>
          <w:rFonts w:ascii="Times New Roman" w:hAnsi="Times New Roman" w:cs="Times New Roman"/>
          <w:sz w:val="24"/>
          <w:szCs w:val="24"/>
        </w:rPr>
        <w:t xml:space="preserve"> also</w:t>
      </w:r>
      <w:r w:rsidR="00D93AA5">
        <w:rPr>
          <w:rFonts w:ascii="Times New Roman" w:hAnsi="Times New Roman" w:cs="Times New Roman"/>
          <w:sz w:val="24"/>
          <w:szCs w:val="24"/>
        </w:rPr>
        <w:t xml:space="preserve"> be referred to as</w:t>
      </w:r>
      <w:r w:rsidR="00F671E9" w:rsidRPr="000C2492">
        <w:rPr>
          <w:rFonts w:ascii="Times New Roman" w:hAnsi="Times New Roman" w:cs="Times New Roman"/>
          <w:sz w:val="24"/>
          <w:szCs w:val="24"/>
        </w:rPr>
        <w:t xml:space="preserve"> “long statements”</w:t>
      </w:r>
      <w:r w:rsidR="00D93AA5">
        <w:rPr>
          <w:rFonts w:ascii="Times New Roman" w:hAnsi="Times New Roman" w:cs="Times New Roman"/>
          <w:sz w:val="24"/>
          <w:szCs w:val="24"/>
        </w:rPr>
        <w:t>,</w:t>
      </w:r>
      <w:r w:rsidR="00F671E9" w:rsidRPr="000C2492">
        <w:rPr>
          <w:rFonts w:ascii="Times New Roman" w:hAnsi="Times New Roman" w:cs="Times New Roman"/>
          <w:sz w:val="24"/>
          <w:szCs w:val="24"/>
          <w:vertAlign w:val="superscript"/>
        </w:rPr>
        <w:footnoteReference w:id="14"/>
      </w:r>
      <w:r w:rsidR="00F671E9" w:rsidRPr="000C2492">
        <w:rPr>
          <w:rFonts w:ascii="Times New Roman" w:hAnsi="Times New Roman" w:cs="Times New Roman"/>
          <w:sz w:val="24"/>
          <w:szCs w:val="24"/>
        </w:rPr>
        <w:t xml:space="preserve"> </w:t>
      </w:r>
      <w:r w:rsidR="00D93AA5">
        <w:rPr>
          <w:rFonts w:ascii="Times New Roman" w:hAnsi="Times New Roman" w:cs="Times New Roman"/>
          <w:sz w:val="24"/>
          <w:szCs w:val="24"/>
        </w:rPr>
        <w:t xml:space="preserve">there is no statutory indication </w:t>
      </w:r>
      <w:r w:rsidR="00000A82">
        <w:rPr>
          <w:rFonts w:ascii="Times New Roman" w:hAnsi="Times New Roman" w:cs="Times New Roman"/>
          <w:sz w:val="24"/>
          <w:szCs w:val="24"/>
        </w:rPr>
        <w:t xml:space="preserve">in the CPC </w:t>
      </w:r>
      <w:r w:rsidR="00D93AA5">
        <w:rPr>
          <w:rFonts w:ascii="Times New Roman" w:hAnsi="Times New Roman" w:cs="Times New Roman"/>
          <w:sz w:val="24"/>
          <w:szCs w:val="24"/>
        </w:rPr>
        <w:t>as to their length</w:t>
      </w:r>
      <w:r w:rsidR="00676367">
        <w:rPr>
          <w:rFonts w:ascii="Times New Roman" w:hAnsi="Times New Roman" w:cs="Times New Roman"/>
          <w:sz w:val="24"/>
          <w:szCs w:val="24"/>
        </w:rPr>
        <w:t xml:space="preserve"> or duration</w:t>
      </w:r>
      <w:r w:rsidR="00D93AA5">
        <w:rPr>
          <w:rFonts w:ascii="Times New Roman" w:hAnsi="Times New Roman" w:cs="Times New Roman"/>
          <w:sz w:val="24"/>
          <w:szCs w:val="24"/>
        </w:rPr>
        <w:t xml:space="preserve">. </w:t>
      </w:r>
      <w:r w:rsidR="003A5145">
        <w:rPr>
          <w:rFonts w:ascii="Times New Roman" w:hAnsi="Times New Roman" w:cs="Times New Roman"/>
          <w:sz w:val="24"/>
          <w:szCs w:val="24"/>
        </w:rPr>
        <w:t>Even though</w:t>
      </w:r>
      <w:r w:rsidR="00F671E9" w:rsidRPr="000C2492">
        <w:rPr>
          <w:rFonts w:ascii="Times New Roman" w:hAnsi="Times New Roman" w:cs="Times New Roman"/>
          <w:sz w:val="24"/>
          <w:szCs w:val="24"/>
        </w:rPr>
        <w:t xml:space="preserve"> they are also frequently called “witness statements”,</w:t>
      </w:r>
      <w:r w:rsidR="00F671E9" w:rsidRPr="000C2492">
        <w:rPr>
          <w:rFonts w:ascii="Times New Roman" w:hAnsi="Times New Roman" w:cs="Times New Roman"/>
          <w:sz w:val="24"/>
          <w:szCs w:val="24"/>
          <w:vertAlign w:val="superscript"/>
        </w:rPr>
        <w:footnoteReference w:id="15"/>
      </w:r>
      <w:r w:rsidR="00F671E9" w:rsidRPr="000C2492">
        <w:rPr>
          <w:rFonts w:ascii="Times New Roman" w:hAnsi="Times New Roman" w:cs="Times New Roman"/>
          <w:sz w:val="24"/>
          <w:szCs w:val="24"/>
        </w:rPr>
        <w:t xml:space="preserve"> this is a misnomer</w:t>
      </w:r>
      <w:r w:rsidR="004F48F2">
        <w:rPr>
          <w:rFonts w:ascii="Times New Roman" w:hAnsi="Times New Roman" w:cs="Times New Roman"/>
          <w:sz w:val="24"/>
          <w:szCs w:val="24"/>
        </w:rPr>
        <w:t>,</w:t>
      </w:r>
      <w:r w:rsidR="00F671E9" w:rsidRPr="000C2492">
        <w:rPr>
          <w:rFonts w:ascii="Times New Roman" w:hAnsi="Times New Roman" w:cs="Times New Roman"/>
          <w:sz w:val="24"/>
          <w:szCs w:val="24"/>
        </w:rPr>
        <w:t xml:space="preserve"> as it is not only witnesses that may be examined. Rather, </w:t>
      </w:r>
      <w:r w:rsidR="001B3498" w:rsidRPr="000C2492">
        <w:rPr>
          <w:rFonts w:ascii="Times New Roman" w:hAnsi="Times New Roman" w:cs="Times New Roman"/>
          <w:sz w:val="24"/>
          <w:szCs w:val="24"/>
        </w:rPr>
        <w:t xml:space="preserve">as mentioned, </w:t>
      </w:r>
      <w:r w:rsidR="00F671E9" w:rsidRPr="000C2492">
        <w:rPr>
          <w:rFonts w:ascii="Times New Roman" w:hAnsi="Times New Roman" w:cs="Times New Roman"/>
          <w:sz w:val="24"/>
          <w:szCs w:val="24"/>
        </w:rPr>
        <w:t xml:space="preserve">any person who </w:t>
      </w:r>
      <w:r w:rsidR="007C7A16" w:rsidRPr="000C2492">
        <w:rPr>
          <w:rFonts w:ascii="Times New Roman" w:hAnsi="Times New Roman" w:cs="Times New Roman"/>
          <w:sz w:val="24"/>
          <w:szCs w:val="24"/>
        </w:rPr>
        <w:t xml:space="preserve">seems </w:t>
      </w:r>
      <w:r w:rsidR="00F671E9" w:rsidRPr="000C2492">
        <w:rPr>
          <w:rFonts w:ascii="Times New Roman" w:hAnsi="Times New Roman" w:cs="Times New Roman"/>
          <w:sz w:val="24"/>
          <w:szCs w:val="24"/>
        </w:rPr>
        <w:t>acquainted with the facts of the case may be examined.</w:t>
      </w:r>
      <w:r w:rsidR="00F671E9" w:rsidRPr="000C2492">
        <w:rPr>
          <w:rFonts w:ascii="Times New Roman" w:hAnsi="Times New Roman" w:cs="Times New Roman"/>
          <w:sz w:val="24"/>
          <w:szCs w:val="24"/>
          <w:vertAlign w:val="superscript"/>
        </w:rPr>
        <w:footnoteReference w:id="16"/>
      </w:r>
      <w:r w:rsidR="00F671E9" w:rsidRPr="000C2492">
        <w:rPr>
          <w:rFonts w:ascii="Times New Roman" w:hAnsi="Times New Roman" w:cs="Times New Roman"/>
          <w:sz w:val="24"/>
          <w:szCs w:val="24"/>
        </w:rPr>
        <w:t xml:space="preserve"> It also does not matter whether anyone has been charged or not, or whether the person will even be called as a witness for that </w:t>
      </w:r>
      <w:proofErr w:type="gramStart"/>
      <w:r w:rsidR="00F671E9" w:rsidRPr="000C2492">
        <w:rPr>
          <w:rFonts w:ascii="Times New Roman" w:hAnsi="Times New Roman" w:cs="Times New Roman"/>
          <w:sz w:val="24"/>
          <w:szCs w:val="24"/>
        </w:rPr>
        <w:t>particular case</w:t>
      </w:r>
      <w:proofErr w:type="gramEnd"/>
      <w:r w:rsidR="00F671E9" w:rsidRPr="000C2492">
        <w:rPr>
          <w:rFonts w:ascii="Times New Roman" w:hAnsi="Times New Roman" w:cs="Times New Roman"/>
          <w:sz w:val="24"/>
          <w:szCs w:val="24"/>
        </w:rPr>
        <w:t>.</w:t>
      </w:r>
      <w:r w:rsidR="00F671E9" w:rsidRPr="000C2492">
        <w:rPr>
          <w:rFonts w:ascii="Times New Roman" w:hAnsi="Times New Roman" w:cs="Times New Roman"/>
          <w:sz w:val="24"/>
          <w:szCs w:val="24"/>
          <w:vertAlign w:val="superscript"/>
        </w:rPr>
        <w:footnoteReference w:id="17"/>
      </w:r>
      <w:r w:rsidR="00B35665">
        <w:rPr>
          <w:rFonts w:ascii="Times New Roman" w:hAnsi="Times New Roman" w:cs="Times New Roman"/>
          <w:sz w:val="24"/>
          <w:szCs w:val="24"/>
        </w:rPr>
        <w:t xml:space="preserve"> </w:t>
      </w:r>
      <w:r w:rsidR="00B731B0">
        <w:rPr>
          <w:rFonts w:ascii="Times New Roman" w:hAnsi="Times New Roman" w:cs="Times New Roman"/>
          <w:sz w:val="24"/>
          <w:szCs w:val="24"/>
        </w:rPr>
        <w:t>As such</w:t>
      </w:r>
      <w:r w:rsidR="00FA547A">
        <w:rPr>
          <w:rFonts w:ascii="Times New Roman" w:hAnsi="Times New Roman" w:cs="Times New Roman"/>
          <w:sz w:val="24"/>
          <w:szCs w:val="24"/>
        </w:rPr>
        <w:t xml:space="preserve">, </w:t>
      </w:r>
      <w:r w:rsidR="00C82476">
        <w:rPr>
          <w:rFonts w:ascii="Times New Roman" w:hAnsi="Times New Roman" w:cs="Times New Roman"/>
          <w:sz w:val="24"/>
          <w:szCs w:val="24"/>
        </w:rPr>
        <w:t>statements made under section 22 of the CPC</w:t>
      </w:r>
      <w:r w:rsidR="00B35665">
        <w:rPr>
          <w:rFonts w:ascii="Times New Roman" w:hAnsi="Times New Roman" w:cs="Times New Roman"/>
          <w:sz w:val="24"/>
          <w:szCs w:val="24"/>
        </w:rPr>
        <w:t xml:space="preserve"> </w:t>
      </w:r>
      <w:r w:rsidR="005576F3">
        <w:rPr>
          <w:rFonts w:ascii="Times New Roman" w:hAnsi="Times New Roman" w:cs="Times New Roman"/>
          <w:sz w:val="24"/>
          <w:szCs w:val="24"/>
        </w:rPr>
        <w:t>will</w:t>
      </w:r>
      <w:r w:rsidR="00B35665">
        <w:rPr>
          <w:rFonts w:ascii="Times New Roman" w:hAnsi="Times New Roman" w:cs="Times New Roman"/>
          <w:sz w:val="24"/>
          <w:szCs w:val="24"/>
        </w:rPr>
        <w:t xml:space="preserve"> </w:t>
      </w:r>
      <w:r w:rsidR="00D61207">
        <w:rPr>
          <w:rFonts w:ascii="Times New Roman" w:hAnsi="Times New Roman" w:cs="Times New Roman"/>
          <w:sz w:val="24"/>
          <w:szCs w:val="24"/>
        </w:rPr>
        <w:t xml:space="preserve">simply </w:t>
      </w:r>
      <w:r w:rsidR="00B35665">
        <w:rPr>
          <w:rFonts w:ascii="Times New Roman" w:hAnsi="Times New Roman" w:cs="Times New Roman"/>
          <w:sz w:val="24"/>
          <w:szCs w:val="24"/>
        </w:rPr>
        <w:t xml:space="preserve">be </w:t>
      </w:r>
      <w:r w:rsidR="00D32A91">
        <w:rPr>
          <w:rFonts w:ascii="Times New Roman" w:hAnsi="Times New Roman" w:cs="Times New Roman"/>
          <w:sz w:val="24"/>
          <w:szCs w:val="24"/>
        </w:rPr>
        <w:t>called</w:t>
      </w:r>
      <w:r w:rsidR="00663A7E">
        <w:rPr>
          <w:rFonts w:ascii="Times New Roman" w:hAnsi="Times New Roman" w:cs="Times New Roman"/>
          <w:sz w:val="24"/>
          <w:szCs w:val="24"/>
        </w:rPr>
        <w:t xml:space="preserve"> </w:t>
      </w:r>
      <w:r w:rsidR="00B35665">
        <w:rPr>
          <w:rFonts w:ascii="Times New Roman" w:hAnsi="Times New Roman" w:cs="Times New Roman"/>
          <w:sz w:val="24"/>
          <w:szCs w:val="24"/>
        </w:rPr>
        <w:t>“</w:t>
      </w:r>
      <w:r w:rsidR="00B35665" w:rsidRPr="00BA24FD">
        <w:rPr>
          <w:rFonts w:ascii="Times New Roman" w:hAnsi="Times New Roman" w:cs="Times New Roman"/>
          <w:b/>
          <w:bCs/>
          <w:sz w:val="24"/>
          <w:szCs w:val="24"/>
        </w:rPr>
        <w:t>Section 22 statements</w:t>
      </w:r>
      <w:r w:rsidR="00B35665">
        <w:rPr>
          <w:rFonts w:ascii="Times New Roman" w:hAnsi="Times New Roman" w:cs="Times New Roman"/>
          <w:sz w:val="24"/>
          <w:szCs w:val="24"/>
        </w:rPr>
        <w:t>”</w:t>
      </w:r>
      <w:r w:rsidR="00762982">
        <w:rPr>
          <w:rFonts w:ascii="Times New Roman" w:hAnsi="Times New Roman" w:cs="Times New Roman"/>
          <w:sz w:val="24"/>
          <w:szCs w:val="24"/>
        </w:rPr>
        <w:t>.</w:t>
      </w:r>
    </w:p>
    <w:p w14:paraId="207B3933" w14:textId="77777777" w:rsidR="00E17EC8" w:rsidRPr="000C2492" w:rsidRDefault="00E17EC8" w:rsidP="000C2492">
      <w:pPr>
        <w:jc w:val="both"/>
        <w:rPr>
          <w:rFonts w:ascii="Times New Roman" w:hAnsi="Times New Roman" w:cs="Times New Roman"/>
          <w:sz w:val="24"/>
          <w:szCs w:val="24"/>
        </w:rPr>
      </w:pPr>
    </w:p>
    <w:p w14:paraId="7C34BA6D" w14:textId="108B9C62" w:rsidR="00E17EC8" w:rsidRPr="000C2492" w:rsidRDefault="00E17EC8" w:rsidP="000C2492">
      <w:pPr>
        <w:jc w:val="both"/>
        <w:rPr>
          <w:rFonts w:ascii="Times New Roman" w:hAnsi="Times New Roman" w:cs="Times New Roman"/>
          <w:sz w:val="24"/>
          <w:szCs w:val="24"/>
        </w:rPr>
      </w:pPr>
      <w:r w:rsidRPr="000C2492">
        <w:rPr>
          <w:rFonts w:ascii="Times New Roman" w:hAnsi="Times New Roman" w:cs="Times New Roman"/>
          <w:sz w:val="24"/>
          <w:szCs w:val="24"/>
        </w:rPr>
        <w:t>Section 22</w:t>
      </w:r>
      <w:r w:rsidR="00986DAA" w:rsidRPr="000C2492">
        <w:rPr>
          <w:rFonts w:ascii="Times New Roman" w:hAnsi="Times New Roman" w:cs="Times New Roman"/>
          <w:sz w:val="24"/>
          <w:szCs w:val="24"/>
        </w:rPr>
        <w:t>(3)</w:t>
      </w:r>
      <w:r w:rsidRPr="000C2492">
        <w:rPr>
          <w:rFonts w:ascii="Times New Roman" w:hAnsi="Times New Roman" w:cs="Times New Roman"/>
          <w:sz w:val="24"/>
          <w:szCs w:val="24"/>
        </w:rPr>
        <w:t xml:space="preserve"> prescribes </w:t>
      </w:r>
      <w:r w:rsidR="00643ACC">
        <w:rPr>
          <w:rFonts w:ascii="Times New Roman" w:hAnsi="Times New Roman" w:cs="Times New Roman"/>
          <w:sz w:val="24"/>
          <w:szCs w:val="24"/>
        </w:rPr>
        <w:t>the</w:t>
      </w:r>
      <w:r w:rsidR="00643ACC" w:rsidRPr="000C2492">
        <w:rPr>
          <w:rFonts w:ascii="Times New Roman" w:hAnsi="Times New Roman" w:cs="Times New Roman"/>
          <w:sz w:val="24"/>
          <w:szCs w:val="24"/>
        </w:rPr>
        <w:t xml:space="preserve"> </w:t>
      </w:r>
      <w:r w:rsidRPr="000C2492">
        <w:rPr>
          <w:rFonts w:ascii="Times New Roman" w:hAnsi="Times New Roman" w:cs="Times New Roman"/>
          <w:sz w:val="24"/>
          <w:szCs w:val="24"/>
        </w:rPr>
        <w:t xml:space="preserve">procedural requirements for such statements. </w:t>
      </w:r>
      <w:r w:rsidR="00D93789">
        <w:rPr>
          <w:rFonts w:ascii="Times New Roman" w:hAnsi="Times New Roman" w:cs="Times New Roman"/>
          <w:sz w:val="24"/>
          <w:szCs w:val="24"/>
        </w:rPr>
        <w:t xml:space="preserve">For example, Section 22 </w:t>
      </w:r>
      <w:r w:rsidRPr="000C2492">
        <w:rPr>
          <w:rFonts w:ascii="Times New Roman" w:hAnsi="Times New Roman" w:cs="Times New Roman"/>
          <w:sz w:val="24"/>
          <w:szCs w:val="24"/>
        </w:rPr>
        <w:t xml:space="preserve">statements </w:t>
      </w:r>
      <w:r w:rsidR="00DF0D64">
        <w:rPr>
          <w:rFonts w:ascii="Times New Roman" w:hAnsi="Times New Roman" w:cs="Times New Roman"/>
          <w:sz w:val="24"/>
          <w:szCs w:val="24"/>
        </w:rPr>
        <w:t xml:space="preserve">must </w:t>
      </w:r>
      <w:r w:rsidRPr="000C2492">
        <w:rPr>
          <w:rFonts w:ascii="Times New Roman" w:hAnsi="Times New Roman" w:cs="Times New Roman"/>
          <w:sz w:val="24"/>
          <w:szCs w:val="24"/>
        </w:rPr>
        <w:t xml:space="preserve">be in writing or in the form of an </w:t>
      </w:r>
      <w:r w:rsidR="00C80071" w:rsidRPr="000C2492">
        <w:rPr>
          <w:rFonts w:ascii="Times New Roman" w:hAnsi="Times New Roman" w:cs="Times New Roman"/>
          <w:sz w:val="24"/>
          <w:szCs w:val="24"/>
        </w:rPr>
        <w:t>audio-visual</w:t>
      </w:r>
      <w:r w:rsidRPr="000C2492">
        <w:rPr>
          <w:rFonts w:ascii="Times New Roman" w:hAnsi="Times New Roman" w:cs="Times New Roman"/>
          <w:sz w:val="24"/>
          <w:szCs w:val="24"/>
        </w:rPr>
        <w:t xml:space="preserve"> recording.</w:t>
      </w:r>
      <w:r w:rsidRPr="000C2492">
        <w:rPr>
          <w:rFonts w:ascii="Times New Roman" w:hAnsi="Times New Roman" w:cs="Times New Roman"/>
          <w:sz w:val="24"/>
          <w:szCs w:val="24"/>
          <w:vertAlign w:val="superscript"/>
        </w:rPr>
        <w:footnoteReference w:id="18"/>
      </w:r>
      <w:r w:rsidRPr="000C2492">
        <w:rPr>
          <w:rFonts w:ascii="Times New Roman" w:hAnsi="Times New Roman" w:cs="Times New Roman"/>
          <w:sz w:val="24"/>
          <w:szCs w:val="24"/>
        </w:rPr>
        <w:t xml:space="preserve"> If the statement is recorded in writing, it must be read over to the person and signed by him/her. If the person does not understand English, it must be interpreted for him/her in a language that he/she understands.</w:t>
      </w:r>
      <w:r w:rsidRPr="000C2492">
        <w:rPr>
          <w:rFonts w:ascii="Times New Roman" w:hAnsi="Times New Roman" w:cs="Times New Roman"/>
          <w:sz w:val="24"/>
          <w:szCs w:val="24"/>
          <w:vertAlign w:val="superscript"/>
        </w:rPr>
        <w:footnoteReference w:id="19"/>
      </w:r>
    </w:p>
    <w:p w14:paraId="4FF07B5A" w14:textId="77777777" w:rsidR="00E17EC8" w:rsidRPr="000C2492" w:rsidRDefault="00E17EC8" w:rsidP="000C2492">
      <w:pPr>
        <w:jc w:val="both"/>
        <w:rPr>
          <w:rFonts w:ascii="Times New Roman" w:hAnsi="Times New Roman" w:cs="Times New Roman"/>
          <w:sz w:val="24"/>
          <w:szCs w:val="24"/>
        </w:rPr>
      </w:pPr>
    </w:p>
    <w:p w14:paraId="57B90682" w14:textId="78C060F6" w:rsidR="00E17EC8" w:rsidRPr="000C2492" w:rsidRDefault="00AE557D" w:rsidP="000C2492">
      <w:pPr>
        <w:pStyle w:val="Heading2"/>
        <w:jc w:val="both"/>
        <w:rPr>
          <w:sz w:val="24"/>
          <w:szCs w:val="24"/>
        </w:rPr>
      </w:pPr>
      <w:r>
        <w:rPr>
          <w:sz w:val="24"/>
          <w:szCs w:val="24"/>
        </w:rPr>
        <w:t>S</w:t>
      </w:r>
      <w:r w:rsidR="00E17EC8" w:rsidRPr="000C2492">
        <w:rPr>
          <w:sz w:val="24"/>
          <w:szCs w:val="24"/>
        </w:rPr>
        <w:t>tatements under Section 23</w:t>
      </w:r>
      <w:r w:rsidR="00F66E27">
        <w:rPr>
          <w:sz w:val="24"/>
          <w:szCs w:val="24"/>
        </w:rPr>
        <w:t xml:space="preserve"> of the CPC</w:t>
      </w:r>
    </w:p>
    <w:p w14:paraId="6DB480A0" w14:textId="56335BA7" w:rsidR="0033430D" w:rsidRDefault="00A17CFB" w:rsidP="000C2492">
      <w:pPr>
        <w:jc w:val="both"/>
        <w:rPr>
          <w:rFonts w:ascii="Times New Roman" w:hAnsi="Times New Roman" w:cs="Times New Roman"/>
          <w:sz w:val="24"/>
          <w:szCs w:val="24"/>
        </w:rPr>
      </w:pPr>
      <w:r w:rsidRPr="000C2492">
        <w:rPr>
          <w:rFonts w:ascii="Times New Roman" w:hAnsi="Times New Roman" w:cs="Times New Roman"/>
          <w:sz w:val="24"/>
          <w:szCs w:val="24"/>
        </w:rPr>
        <w:t xml:space="preserve">The second </w:t>
      </w:r>
      <w:r w:rsidR="00FA0398" w:rsidRPr="000C2492">
        <w:rPr>
          <w:rFonts w:ascii="Times New Roman" w:hAnsi="Times New Roman" w:cs="Times New Roman"/>
          <w:sz w:val="24"/>
          <w:szCs w:val="24"/>
        </w:rPr>
        <w:t xml:space="preserve">type of statement that can be taken is the </w:t>
      </w:r>
      <w:r w:rsidR="00F541C5">
        <w:rPr>
          <w:rFonts w:ascii="Times New Roman" w:hAnsi="Times New Roman" w:cs="Times New Roman"/>
          <w:sz w:val="24"/>
          <w:szCs w:val="24"/>
        </w:rPr>
        <w:t>“</w:t>
      </w:r>
      <w:r w:rsidR="00F541C5" w:rsidRPr="00BA24FD">
        <w:rPr>
          <w:rFonts w:ascii="Times New Roman" w:hAnsi="Times New Roman" w:cs="Times New Roman"/>
          <w:b/>
          <w:bCs/>
          <w:sz w:val="24"/>
          <w:szCs w:val="24"/>
        </w:rPr>
        <w:t>cautioned statement</w:t>
      </w:r>
      <w:r w:rsidR="00F541C5">
        <w:rPr>
          <w:rFonts w:ascii="Times New Roman" w:hAnsi="Times New Roman" w:cs="Times New Roman"/>
          <w:sz w:val="24"/>
          <w:szCs w:val="24"/>
        </w:rPr>
        <w:t>” under s</w:t>
      </w:r>
      <w:r w:rsidR="00FA0398" w:rsidRPr="000C2492">
        <w:rPr>
          <w:rFonts w:ascii="Times New Roman" w:hAnsi="Times New Roman" w:cs="Times New Roman"/>
          <w:sz w:val="24"/>
          <w:szCs w:val="24"/>
        </w:rPr>
        <w:t xml:space="preserve">ection 23 </w:t>
      </w:r>
      <w:r w:rsidR="00F541C5">
        <w:rPr>
          <w:rFonts w:ascii="Times New Roman" w:hAnsi="Times New Roman" w:cs="Times New Roman"/>
          <w:sz w:val="24"/>
          <w:szCs w:val="24"/>
        </w:rPr>
        <w:t>of the CPC</w:t>
      </w:r>
      <w:r w:rsidR="00FA0398" w:rsidRPr="000C2492">
        <w:rPr>
          <w:rFonts w:ascii="Times New Roman" w:hAnsi="Times New Roman" w:cs="Times New Roman"/>
          <w:sz w:val="24"/>
          <w:szCs w:val="24"/>
        </w:rPr>
        <w:t xml:space="preserve">. </w:t>
      </w:r>
      <w:r w:rsidR="009B4662">
        <w:rPr>
          <w:rFonts w:ascii="Times New Roman" w:hAnsi="Times New Roman" w:cs="Times New Roman"/>
          <w:sz w:val="24"/>
          <w:szCs w:val="24"/>
        </w:rPr>
        <w:t xml:space="preserve">Section 23 </w:t>
      </w:r>
      <w:r w:rsidR="00E17EC8" w:rsidRPr="000C2492">
        <w:rPr>
          <w:rFonts w:ascii="Times New Roman" w:hAnsi="Times New Roman" w:cs="Times New Roman"/>
          <w:sz w:val="24"/>
          <w:szCs w:val="24"/>
        </w:rPr>
        <w:t>provides that investigation officers may record a statement from a person charged with an offence.</w:t>
      </w:r>
      <w:r w:rsidR="00E17EC8" w:rsidRPr="000C2492">
        <w:rPr>
          <w:rStyle w:val="FootnoteReference"/>
          <w:rFonts w:ascii="Times New Roman" w:hAnsi="Times New Roman" w:cs="Times New Roman"/>
          <w:sz w:val="24"/>
          <w:szCs w:val="24"/>
        </w:rPr>
        <w:footnoteReference w:id="20"/>
      </w:r>
      <w:r w:rsidR="00E17EC8" w:rsidRPr="000C2492">
        <w:rPr>
          <w:rFonts w:ascii="Times New Roman" w:hAnsi="Times New Roman" w:cs="Times New Roman"/>
          <w:sz w:val="24"/>
          <w:szCs w:val="24"/>
        </w:rPr>
        <w:t xml:space="preserve"> </w:t>
      </w:r>
      <w:r w:rsidR="006E4E62">
        <w:rPr>
          <w:rFonts w:ascii="Times New Roman" w:hAnsi="Times New Roman" w:cs="Times New Roman"/>
          <w:sz w:val="24"/>
          <w:szCs w:val="24"/>
        </w:rPr>
        <w:t>Cautioned statements</w:t>
      </w:r>
      <w:r w:rsidR="00F00984">
        <w:rPr>
          <w:rFonts w:ascii="Times New Roman" w:hAnsi="Times New Roman" w:cs="Times New Roman"/>
          <w:sz w:val="24"/>
          <w:szCs w:val="24"/>
        </w:rPr>
        <w:t xml:space="preserve"> </w:t>
      </w:r>
      <w:r w:rsidR="00E17EC8" w:rsidRPr="000C2492">
        <w:rPr>
          <w:rFonts w:ascii="Times New Roman" w:hAnsi="Times New Roman" w:cs="Times New Roman"/>
          <w:sz w:val="24"/>
          <w:szCs w:val="24"/>
        </w:rPr>
        <w:t>might also be recorded when the person is informed by the investigating officer that he might be prosecuted for an offence.</w:t>
      </w:r>
      <w:r w:rsidR="00E17EC8" w:rsidRPr="000C2492">
        <w:rPr>
          <w:rStyle w:val="FootnoteReference"/>
          <w:rFonts w:ascii="Times New Roman" w:hAnsi="Times New Roman" w:cs="Times New Roman"/>
          <w:sz w:val="24"/>
          <w:szCs w:val="24"/>
        </w:rPr>
        <w:footnoteReference w:id="21"/>
      </w:r>
      <w:r w:rsidR="00E17EC8" w:rsidRPr="000C2492">
        <w:rPr>
          <w:rFonts w:ascii="Times New Roman" w:hAnsi="Times New Roman" w:cs="Times New Roman"/>
          <w:sz w:val="24"/>
          <w:szCs w:val="24"/>
        </w:rPr>
        <w:t xml:space="preserve"> </w:t>
      </w:r>
    </w:p>
    <w:p w14:paraId="58083DA7" w14:textId="77777777" w:rsidR="0033430D" w:rsidRDefault="0033430D" w:rsidP="000C2492">
      <w:pPr>
        <w:jc w:val="both"/>
        <w:rPr>
          <w:rFonts w:ascii="Times New Roman" w:hAnsi="Times New Roman" w:cs="Times New Roman"/>
          <w:sz w:val="24"/>
          <w:szCs w:val="24"/>
        </w:rPr>
      </w:pPr>
    </w:p>
    <w:p w14:paraId="31B33D37" w14:textId="086FA56B" w:rsidR="00DF49B4" w:rsidRPr="000C2492" w:rsidRDefault="00846111" w:rsidP="000C2492">
      <w:pPr>
        <w:jc w:val="both"/>
        <w:rPr>
          <w:rFonts w:ascii="Times New Roman" w:hAnsi="Times New Roman" w:cs="Times New Roman"/>
          <w:sz w:val="24"/>
          <w:szCs w:val="24"/>
        </w:rPr>
      </w:pPr>
      <w:r>
        <w:rPr>
          <w:rFonts w:ascii="Times New Roman" w:hAnsi="Times New Roman" w:cs="Times New Roman"/>
          <w:sz w:val="24"/>
          <w:szCs w:val="24"/>
        </w:rPr>
        <w:t xml:space="preserve">Such statements </w:t>
      </w:r>
      <w:r w:rsidR="00DF49B4" w:rsidRPr="000C2492">
        <w:rPr>
          <w:rFonts w:ascii="Times New Roman" w:hAnsi="Times New Roman" w:cs="Times New Roman"/>
          <w:sz w:val="24"/>
          <w:szCs w:val="24"/>
        </w:rPr>
        <w:t>differ from Section 22 statement</w:t>
      </w:r>
      <w:r w:rsidR="005E549F">
        <w:rPr>
          <w:rFonts w:ascii="Times New Roman" w:hAnsi="Times New Roman" w:cs="Times New Roman"/>
          <w:sz w:val="24"/>
          <w:szCs w:val="24"/>
        </w:rPr>
        <w:t>s</w:t>
      </w:r>
      <w:r w:rsidR="00CD521D">
        <w:rPr>
          <w:rFonts w:ascii="Times New Roman" w:hAnsi="Times New Roman" w:cs="Times New Roman"/>
          <w:sz w:val="24"/>
          <w:szCs w:val="24"/>
        </w:rPr>
        <w:t xml:space="preserve">, in that a </w:t>
      </w:r>
      <w:r w:rsidR="00DF49B4" w:rsidRPr="000C2492">
        <w:rPr>
          <w:rFonts w:ascii="Times New Roman" w:hAnsi="Times New Roman" w:cs="Times New Roman"/>
          <w:sz w:val="24"/>
          <w:szCs w:val="24"/>
        </w:rPr>
        <w:t xml:space="preserve">person </w:t>
      </w:r>
      <w:r w:rsidR="0066237F">
        <w:rPr>
          <w:rFonts w:ascii="Times New Roman" w:hAnsi="Times New Roman" w:cs="Times New Roman"/>
          <w:sz w:val="24"/>
          <w:szCs w:val="24"/>
        </w:rPr>
        <w:t xml:space="preserve">being questioned </w:t>
      </w:r>
      <w:r w:rsidR="00CD521D">
        <w:rPr>
          <w:rFonts w:ascii="Times New Roman" w:hAnsi="Times New Roman" w:cs="Times New Roman"/>
          <w:sz w:val="24"/>
          <w:szCs w:val="24"/>
        </w:rPr>
        <w:t>under section 22 does not have to</w:t>
      </w:r>
      <w:r w:rsidR="00CD521D" w:rsidRPr="000C2492">
        <w:rPr>
          <w:rFonts w:ascii="Times New Roman" w:hAnsi="Times New Roman" w:cs="Times New Roman"/>
          <w:sz w:val="24"/>
          <w:szCs w:val="24"/>
        </w:rPr>
        <w:t xml:space="preserve"> </w:t>
      </w:r>
      <w:r w:rsidR="0066237F">
        <w:rPr>
          <w:rFonts w:ascii="Times New Roman" w:hAnsi="Times New Roman" w:cs="Times New Roman"/>
          <w:sz w:val="24"/>
          <w:szCs w:val="24"/>
        </w:rPr>
        <w:t xml:space="preserve">be </w:t>
      </w:r>
      <w:r w:rsidR="00FD6A42" w:rsidRPr="000C2492">
        <w:rPr>
          <w:rFonts w:ascii="Times New Roman" w:hAnsi="Times New Roman" w:cs="Times New Roman"/>
          <w:sz w:val="24"/>
          <w:szCs w:val="24"/>
        </w:rPr>
        <w:t>charged</w:t>
      </w:r>
      <w:r w:rsidR="00521E19" w:rsidRPr="000C2492">
        <w:rPr>
          <w:rFonts w:ascii="Times New Roman" w:hAnsi="Times New Roman" w:cs="Times New Roman"/>
          <w:sz w:val="24"/>
          <w:szCs w:val="24"/>
        </w:rPr>
        <w:t xml:space="preserve"> or informed that he</w:t>
      </w:r>
      <w:r w:rsidR="006158EE" w:rsidRPr="000C2492">
        <w:rPr>
          <w:rFonts w:ascii="Times New Roman" w:hAnsi="Times New Roman" w:cs="Times New Roman"/>
          <w:sz w:val="24"/>
          <w:szCs w:val="24"/>
        </w:rPr>
        <w:t>/she</w:t>
      </w:r>
      <w:r w:rsidR="00521E19" w:rsidRPr="000C2492">
        <w:rPr>
          <w:rFonts w:ascii="Times New Roman" w:hAnsi="Times New Roman" w:cs="Times New Roman"/>
          <w:sz w:val="24"/>
          <w:szCs w:val="24"/>
        </w:rPr>
        <w:t xml:space="preserve"> might be </w:t>
      </w:r>
      <w:r w:rsidR="00E114E6" w:rsidRPr="000C2492">
        <w:rPr>
          <w:rFonts w:ascii="Times New Roman" w:hAnsi="Times New Roman" w:cs="Times New Roman"/>
          <w:sz w:val="24"/>
          <w:szCs w:val="24"/>
        </w:rPr>
        <w:t>prosecuted</w:t>
      </w:r>
      <w:r w:rsidR="003B6D8D">
        <w:rPr>
          <w:rFonts w:ascii="Times New Roman" w:hAnsi="Times New Roman" w:cs="Times New Roman"/>
          <w:sz w:val="24"/>
          <w:szCs w:val="24"/>
        </w:rPr>
        <w:t xml:space="preserve"> (this is required when statements are taken under section 23)</w:t>
      </w:r>
      <w:r w:rsidR="00DF49B4" w:rsidRPr="000C2492">
        <w:rPr>
          <w:rFonts w:ascii="Times New Roman" w:hAnsi="Times New Roman" w:cs="Times New Roman"/>
          <w:sz w:val="24"/>
          <w:szCs w:val="24"/>
        </w:rPr>
        <w:t>.</w:t>
      </w:r>
      <w:r w:rsidR="00DF49B4" w:rsidRPr="000C2492">
        <w:rPr>
          <w:rStyle w:val="FootnoteReference"/>
          <w:rFonts w:ascii="Times New Roman" w:hAnsi="Times New Roman" w:cs="Times New Roman"/>
          <w:sz w:val="24"/>
          <w:szCs w:val="24"/>
        </w:rPr>
        <w:footnoteReference w:id="22"/>
      </w:r>
      <w:r w:rsidR="001A6B81" w:rsidRPr="000C2492">
        <w:rPr>
          <w:rFonts w:ascii="Times New Roman" w:hAnsi="Times New Roman" w:cs="Times New Roman"/>
          <w:sz w:val="24"/>
          <w:szCs w:val="24"/>
        </w:rPr>
        <w:t xml:space="preserve"> </w:t>
      </w:r>
      <w:r w:rsidR="00F66E27">
        <w:rPr>
          <w:rFonts w:ascii="Times New Roman" w:hAnsi="Times New Roman" w:cs="Times New Roman"/>
          <w:sz w:val="24"/>
          <w:szCs w:val="24"/>
        </w:rPr>
        <w:t>The cautioned s</w:t>
      </w:r>
      <w:r w:rsidR="001A6B81" w:rsidRPr="000C2492">
        <w:rPr>
          <w:rFonts w:ascii="Times New Roman" w:hAnsi="Times New Roman" w:cs="Times New Roman"/>
          <w:sz w:val="24"/>
          <w:szCs w:val="24"/>
        </w:rPr>
        <w:t xml:space="preserve">tatement is therefore an important opportunity for an accused to state his case or </w:t>
      </w:r>
      <w:proofErr w:type="spellStart"/>
      <w:r w:rsidR="001A6B81" w:rsidRPr="000C2492">
        <w:rPr>
          <w:rFonts w:ascii="Times New Roman" w:hAnsi="Times New Roman" w:cs="Times New Roman"/>
          <w:sz w:val="24"/>
          <w:szCs w:val="24"/>
        </w:rPr>
        <w:t>defense</w:t>
      </w:r>
      <w:proofErr w:type="spellEnd"/>
      <w:r w:rsidR="001A6B81" w:rsidRPr="000C2492">
        <w:rPr>
          <w:rFonts w:ascii="Times New Roman" w:hAnsi="Times New Roman" w:cs="Times New Roman"/>
          <w:sz w:val="24"/>
          <w:szCs w:val="24"/>
        </w:rPr>
        <w:t>.</w:t>
      </w:r>
      <w:r w:rsidR="001A6B81" w:rsidRPr="000C2492">
        <w:rPr>
          <w:rStyle w:val="FootnoteReference"/>
          <w:rFonts w:ascii="Times New Roman" w:hAnsi="Times New Roman" w:cs="Times New Roman"/>
          <w:sz w:val="24"/>
          <w:szCs w:val="24"/>
        </w:rPr>
        <w:footnoteReference w:id="23"/>
      </w:r>
    </w:p>
    <w:p w14:paraId="4BC4664F" w14:textId="77777777" w:rsidR="00DF49B4" w:rsidRPr="000C2492" w:rsidRDefault="00DF49B4" w:rsidP="000C2492">
      <w:pPr>
        <w:jc w:val="both"/>
        <w:rPr>
          <w:rFonts w:ascii="Times New Roman" w:hAnsi="Times New Roman" w:cs="Times New Roman"/>
          <w:sz w:val="24"/>
          <w:szCs w:val="24"/>
        </w:rPr>
      </w:pPr>
    </w:p>
    <w:p w14:paraId="3C38559C" w14:textId="14FC028F" w:rsidR="00603424" w:rsidRPr="000C2492" w:rsidRDefault="00D844E4" w:rsidP="000C2492">
      <w:pPr>
        <w:jc w:val="both"/>
        <w:rPr>
          <w:rFonts w:ascii="Times New Roman" w:hAnsi="Times New Roman" w:cs="Times New Roman"/>
          <w:sz w:val="24"/>
          <w:szCs w:val="24"/>
        </w:rPr>
      </w:pPr>
      <w:r w:rsidRPr="000C2492">
        <w:rPr>
          <w:rFonts w:ascii="Times New Roman" w:hAnsi="Times New Roman" w:cs="Times New Roman"/>
          <w:sz w:val="24"/>
          <w:szCs w:val="24"/>
        </w:rPr>
        <w:t xml:space="preserve">The </w:t>
      </w:r>
      <w:r w:rsidR="00E17EC8" w:rsidRPr="000C2492">
        <w:rPr>
          <w:rFonts w:ascii="Times New Roman" w:hAnsi="Times New Roman" w:cs="Times New Roman"/>
          <w:sz w:val="24"/>
          <w:szCs w:val="24"/>
        </w:rPr>
        <w:t xml:space="preserve">procedural requirements for </w:t>
      </w:r>
      <w:r w:rsidR="00AF03C6">
        <w:rPr>
          <w:rFonts w:ascii="Times New Roman" w:hAnsi="Times New Roman" w:cs="Times New Roman"/>
          <w:sz w:val="24"/>
          <w:szCs w:val="24"/>
        </w:rPr>
        <w:t>taking statements under s</w:t>
      </w:r>
      <w:r w:rsidR="00E17EC8" w:rsidRPr="000C2492">
        <w:rPr>
          <w:rFonts w:ascii="Times New Roman" w:hAnsi="Times New Roman" w:cs="Times New Roman"/>
          <w:sz w:val="24"/>
          <w:szCs w:val="24"/>
        </w:rPr>
        <w:t xml:space="preserve">ection 23 </w:t>
      </w:r>
      <w:r w:rsidR="00125FB4" w:rsidRPr="000C2492">
        <w:rPr>
          <w:rFonts w:ascii="Times New Roman" w:hAnsi="Times New Roman" w:cs="Times New Roman"/>
          <w:sz w:val="24"/>
          <w:szCs w:val="24"/>
        </w:rPr>
        <w:t xml:space="preserve">are </w:t>
      </w:r>
      <w:proofErr w:type="gramStart"/>
      <w:r w:rsidR="00FC0C9A" w:rsidRPr="000C2492">
        <w:rPr>
          <w:rFonts w:ascii="Times New Roman" w:hAnsi="Times New Roman" w:cs="Times New Roman"/>
          <w:sz w:val="24"/>
          <w:szCs w:val="24"/>
        </w:rPr>
        <w:t xml:space="preserve">similar </w:t>
      </w:r>
      <w:r w:rsidR="00E50260" w:rsidRPr="000C2492">
        <w:rPr>
          <w:rFonts w:ascii="Times New Roman" w:hAnsi="Times New Roman" w:cs="Times New Roman"/>
          <w:sz w:val="24"/>
          <w:szCs w:val="24"/>
        </w:rPr>
        <w:t>to</w:t>
      </w:r>
      <w:proofErr w:type="gramEnd"/>
      <w:r w:rsidR="00E50260" w:rsidRPr="000C2492">
        <w:rPr>
          <w:rFonts w:ascii="Times New Roman" w:hAnsi="Times New Roman" w:cs="Times New Roman"/>
          <w:sz w:val="24"/>
          <w:szCs w:val="24"/>
        </w:rPr>
        <w:t xml:space="preserve"> </w:t>
      </w:r>
      <w:r w:rsidR="00E17EC8" w:rsidRPr="000C2492">
        <w:rPr>
          <w:rFonts w:ascii="Times New Roman" w:hAnsi="Times New Roman" w:cs="Times New Roman"/>
          <w:sz w:val="24"/>
          <w:szCs w:val="24"/>
        </w:rPr>
        <w:t xml:space="preserve">those </w:t>
      </w:r>
      <w:r w:rsidR="001D6B96" w:rsidRPr="000C2492">
        <w:rPr>
          <w:rFonts w:ascii="Times New Roman" w:hAnsi="Times New Roman" w:cs="Times New Roman"/>
          <w:sz w:val="24"/>
          <w:szCs w:val="24"/>
        </w:rPr>
        <w:t xml:space="preserve">for </w:t>
      </w:r>
      <w:r w:rsidR="00AF03C6">
        <w:rPr>
          <w:rFonts w:ascii="Times New Roman" w:hAnsi="Times New Roman" w:cs="Times New Roman"/>
          <w:sz w:val="24"/>
          <w:szCs w:val="24"/>
        </w:rPr>
        <w:t>s</w:t>
      </w:r>
      <w:r w:rsidR="00E17EC8" w:rsidRPr="000C2492">
        <w:rPr>
          <w:rFonts w:ascii="Times New Roman" w:hAnsi="Times New Roman" w:cs="Times New Roman"/>
          <w:sz w:val="24"/>
          <w:szCs w:val="24"/>
        </w:rPr>
        <w:t xml:space="preserve">ection 22. </w:t>
      </w:r>
      <w:r w:rsidR="00A42778">
        <w:rPr>
          <w:rFonts w:ascii="Times New Roman" w:hAnsi="Times New Roman" w:cs="Times New Roman"/>
          <w:sz w:val="24"/>
          <w:szCs w:val="24"/>
        </w:rPr>
        <w:t>For instance, t</w:t>
      </w:r>
      <w:r w:rsidR="00603424" w:rsidRPr="000C2492">
        <w:rPr>
          <w:rFonts w:ascii="Times New Roman" w:hAnsi="Times New Roman" w:cs="Times New Roman"/>
          <w:sz w:val="24"/>
          <w:szCs w:val="24"/>
        </w:rPr>
        <w:t>he statement must be in writing or in the form of an audio-visual recording.</w:t>
      </w:r>
      <w:r w:rsidR="00603424" w:rsidRPr="000C2492">
        <w:rPr>
          <w:rFonts w:ascii="Times New Roman" w:hAnsi="Times New Roman" w:cs="Times New Roman"/>
          <w:sz w:val="24"/>
          <w:szCs w:val="24"/>
          <w:vertAlign w:val="superscript"/>
        </w:rPr>
        <w:footnoteReference w:id="24"/>
      </w:r>
      <w:r w:rsidR="00603424" w:rsidRPr="000C2492">
        <w:rPr>
          <w:rFonts w:ascii="Times New Roman" w:hAnsi="Times New Roman" w:cs="Times New Roman"/>
          <w:sz w:val="24"/>
          <w:szCs w:val="24"/>
        </w:rPr>
        <w:t xml:space="preserve"> After a statement has been made by an accused under </w:t>
      </w:r>
      <w:r w:rsidR="00E052C7">
        <w:rPr>
          <w:rFonts w:ascii="Times New Roman" w:hAnsi="Times New Roman" w:cs="Times New Roman"/>
          <w:sz w:val="24"/>
          <w:szCs w:val="24"/>
        </w:rPr>
        <w:t>s</w:t>
      </w:r>
      <w:r w:rsidR="00603424" w:rsidRPr="000C2492">
        <w:rPr>
          <w:rFonts w:ascii="Times New Roman" w:hAnsi="Times New Roman" w:cs="Times New Roman"/>
          <w:sz w:val="24"/>
          <w:szCs w:val="24"/>
        </w:rPr>
        <w:t>ection 23, the statement must be read to and signed by him/her.</w:t>
      </w:r>
      <w:r w:rsidR="00603424" w:rsidRPr="000C2492">
        <w:rPr>
          <w:rStyle w:val="FootnoteReference"/>
          <w:rFonts w:ascii="Times New Roman" w:hAnsi="Times New Roman" w:cs="Times New Roman"/>
          <w:sz w:val="24"/>
          <w:szCs w:val="24"/>
        </w:rPr>
        <w:footnoteReference w:id="25"/>
      </w:r>
      <w:r w:rsidR="00603424" w:rsidRPr="000C2492">
        <w:rPr>
          <w:rFonts w:ascii="Times New Roman" w:hAnsi="Times New Roman" w:cs="Times New Roman"/>
          <w:sz w:val="24"/>
          <w:szCs w:val="24"/>
        </w:rPr>
        <w:t xml:space="preserve"> If the accused does not understand English, it must be interpreted for the accused in a language that </w:t>
      </w:r>
      <w:r w:rsidRPr="000C2492">
        <w:rPr>
          <w:rFonts w:ascii="Times New Roman" w:hAnsi="Times New Roman" w:cs="Times New Roman"/>
          <w:sz w:val="24"/>
          <w:szCs w:val="24"/>
        </w:rPr>
        <w:t xml:space="preserve">he/she </w:t>
      </w:r>
      <w:r w:rsidR="00603424" w:rsidRPr="000C2492">
        <w:rPr>
          <w:rFonts w:ascii="Times New Roman" w:hAnsi="Times New Roman" w:cs="Times New Roman"/>
          <w:sz w:val="24"/>
          <w:szCs w:val="24"/>
        </w:rPr>
        <w:t>understands.</w:t>
      </w:r>
      <w:r w:rsidR="00603424" w:rsidRPr="000C2492">
        <w:rPr>
          <w:rStyle w:val="FootnoteReference"/>
          <w:rFonts w:ascii="Times New Roman" w:hAnsi="Times New Roman" w:cs="Times New Roman"/>
          <w:sz w:val="24"/>
          <w:szCs w:val="24"/>
        </w:rPr>
        <w:footnoteReference w:id="26"/>
      </w:r>
    </w:p>
    <w:p w14:paraId="0D2AC0EF" w14:textId="583911C5" w:rsidR="00603424" w:rsidRPr="000C2492" w:rsidRDefault="00603424" w:rsidP="000C2492">
      <w:pPr>
        <w:jc w:val="both"/>
        <w:rPr>
          <w:rFonts w:ascii="Times New Roman" w:hAnsi="Times New Roman" w:cs="Times New Roman"/>
          <w:sz w:val="24"/>
          <w:szCs w:val="24"/>
        </w:rPr>
      </w:pPr>
    </w:p>
    <w:p w14:paraId="7333AD64" w14:textId="34BE810F" w:rsidR="00DF49B4" w:rsidRPr="000C2492" w:rsidRDefault="00DF49B4" w:rsidP="000C2492">
      <w:pPr>
        <w:jc w:val="both"/>
        <w:rPr>
          <w:rFonts w:ascii="Times New Roman" w:hAnsi="Times New Roman" w:cs="Times New Roman"/>
          <w:sz w:val="24"/>
          <w:szCs w:val="24"/>
        </w:rPr>
      </w:pPr>
      <w:r w:rsidRPr="000C2492">
        <w:rPr>
          <w:rFonts w:ascii="Times New Roman" w:hAnsi="Times New Roman" w:cs="Times New Roman"/>
          <w:sz w:val="24"/>
          <w:szCs w:val="24"/>
        </w:rPr>
        <w:t xml:space="preserve">However, there </w:t>
      </w:r>
      <w:r w:rsidR="00F320F6" w:rsidRPr="000C2492">
        <w:rPr>
          <w:rFonts w:ascii="Times New Roman" w:hAnsi="Times New Roman" w:cs="Times New Roman"/>
          <w:sz w:val="24"/>
          <w:szCs w:val="24"/>
        </w:rPr>
        <w:t xml:space="preserve">are a few </w:t>
      </w:r>
      <w:r w:rsidRPr="000C2492">
        <w:rPr>
          <w:rFonts w:ascii="Times New Roman" w:hAnsi="Times New Roman" w:cs="Times New Roman"/>
          <w:sz w:val="24"/>
          <w:szCs w:val="24"/>
        </w:rPr>
        <w:t>additional requirement</w:t>
      </w:r>
      <w:r w:rsidR="00F320F6" w:rsidRPr="000C2492">
        <w:rPr>
          <w:rFonts w:ascii="Times New Roman" w:hAnsi="Times New Roman" w:cs="Times New Roman"/>
          <w:sz w:val="24"/>
          <w:szCs w:val="24"/>
        </w:rPr>
        <w:t>s</w:t>
      </w:r>
      <w:r w:rsidR="00603424" w:rsidRPr="000C2492">
        <w:rPr>
          <w:rFonts w:ascii="Times New Roman" w:hAnsi="Times New Roman" w:cs="Times New Roman"/>
          <w:sz w:val="24"/>
          <w:szCs w:val="24"/>
        </w:rPr>
        <w:t xml:space="preserve"> for </w:t>
      </w:r>
      <w:r w:rsidR="00912206">
        <w:rPr>
          <w:rFonts w:ascii="Times New Roman" w:hAnsi="Times New Roman" w:cs="Times New Roman"/>
          <w:sz w:val="24"/>
          <w:szCs w:val="24"/>
        </w:rPr>
        <w:t>statements</w:t>
      </w:r>
      <w:r w:rsidR="00101C15">
        <w:rPr>
          <w:rFonts w:ascii="Times New Roman" w:hAnsi="Times New Roman" w:cs="Times New Roman"/>
          <w:sz w:val="24"/>
          <w:szCs w:val="24"/>
        </w:rPr>
        <w:t xml:space="preserve"> recorded under section 23</w:t>
      </w:r>
      <w:r w:rsidR="00F320F6" w:rsidRPr="000C2492">
        <w:rPr>
          <w:rFonts w:ascii="Times New Roman" w:hAnsi="Times New Roman" w:cs="Times New Roman"/>
          <w:sz w:val="24"/>
          <w:szCs w:val="24"/>
        </w:rPr>
        <w:t>.</w:t>
      </w:r>
      <w:r w:rsidRPr="000C2492">
        <w:rPr>
          <w:rFonts w:ascii="Times New Roman" w:hAnsi="Times New Roman" w:cs="Times New Roman"/>
          <w:sz w:val="24"/>
          <w:szCs w:val="24"/>
        </w:rPr>
        <w:t xml:space="preserve"> </w:t>
      </w:r>
      <w:r w:rsidR="004D003E">
        <w:rPr>
          <w:rFonts w:ascii="Times New Roman" w:hAnsi="Times New Roman" w:cs="Times New Roman"/>
          <w:sz w:val="24"/>
          <w:szCs w:val="24"/>
        </w:rPr>
        <w:t>T</w:t>
      </w:r>
      <w:r w:rsidR="003959B6" w:rsidRPr="000C2492">
        <w:rPr>
          <w:rFonts w:ascii="Times New Roman" w:hAnsi="Times New Roman" w:cs="Times New Roman"/>
          <w:sz w:val="24"/>
          <w:szCs w:val="24"/>
        </w:rPr>
        <w:t xml:space="preserve">he hallmark </w:t>
      </w:r>
      <w:r w:rsidR="0087279B" w:rsidRPr="000C2492">
        <w:rPr>
          <w:rFonts w:ascii="Times New Roman" w:hAnsi="Times New Roman" w:cs="Times New Roman"/>
          <w:sz w:val="24"/>
          <w:szCs w:val="24"/>
        </w:rPr>
        <w:t xml:space="preserve">feature </w:t>
      </w:r>
      <w:r w:rsidR="003959B6" w:rsidRPr="000C2492">
        <w:rPr>
          <w:rFonts w:ascii="Times New Roman" w:hAnsi="Times New Roman" w:cs="Times New Roman"/>
          <w:sz w:val="24"/>
          <w:szCs w:val="24"/>
        </w:rPr>
        <w:t xml:space="preserve">of a </w:t>
      </w:r>
      <w:r w:rsidR="00D03583">
        <w:rPr>
          <w:rFonts w:ascii="Times New Roman" w:hAnsi="Times New Roman" w:cs="Times New Roman"/>
          <w:sz w:val="24"/>
          <w:szCs w:val="24"/>
        </w:rPr>
        <w:t xml:space="preserve">section 23 </w:t>
      </w:r>
      <w:r w:rsidR="003959B6" w:rsidRPr="000C2492">
        <w:rPr>
          <w:rFonts w:ascii="Times New Roman" w:hAnsi="Times New Roman" w:cs="Times New Roman"/>
          <w:sz w:val="24"/>
          <w:szCs w:val="24"/>
        </w:rPr>
        <w:t>statement</w:t>
      </w:r>
      <w:r w:rsidR="00182672" w:rsidRPr="000C2492">
        <w:rPr>
          <w:rFonts w:ascii="Times New Roman" w:hAnsi="Times New Roman" w:cs="Times New Roman"/>
          <w:sz w:val="24"/>
          <w:szCs w:val="24"/>
        </w:rPr>
        <w:t xml:space="preserve"> </w:t>
      </w:r>
      <w:r w:rsidR="003959B6" w:rsidRPr="000C2492">
        <w:rPr>
          <w:rFonts w:ascii="Times New Roman" w:hAnsi="Times New Roman" w:cs="Times New Roman"/>
          <w:sz w:val="24"/>
          <w:szCs w:val="24"/>
        </w:rPr>
        <w:t xml:space="preserve">is </w:t>
      </w:r>
      <w:r w:rsidRPr="000C2492">
        <w:rPr>
          <w:rFonts w:ascii="Times New Roman" w:hAnsi="Times New Roman" w:cs="Times New Roman"/>
          <w:sz w:val="24"/>
          <w:szCs w:val="24"/>
        </w:rPr>
        <w:t xml:space="preserve">that </w:t>
      </w:r>
      <w:r w:rsidR="00D4481E" w:rsidRPr="000C2492">
        <w:rPr>
          <w:rFonts w:ascii="Times New Roman" w:hAnsi="Times New Roman" w:cs="Times New Roman"/>
          <w:sz w:val="24"/>
          <w:szCs w:val="24"/>
        </w:rPr>
        <w:t>th</w:t>
      </w:r>
      <w:r w:rsidR="00EE0960">
        <w:rPr>
          <w:rFonts w:ascii="Times New Roman" w:hAnsi="Times New Roman" w:cs="Times New Roman"/>
          <w:sz w:val="24"/>
          <w:szCs w:val="24"/>
        </w:rPr>
        <w:t>e following</w:t>
      </w:r>
      <w:r w:rsidR="00772812" w:rsidRPr="000C2492">
        <w:rPr>
          <w:rFonts w:ascii="Times New Roman" w:hAnsi="Times New Roman" w:cs="Times New Roman"/>
          <w:sz w:val="24"/>
          <w:szCs w:val="24"/>
        </w:rPr>
        <w:t xml:space="preserve"> </w:t>
      </w:r>
      <w:r w:rsidR="00BA2CFE">
        <w:rPr>
          <w:rFonts w:ascii="Times New Roman" w:hAnsi="Times New Roman" w:cs="Times New Roman"/>
          <w:sz w:val="24"/>
          <w:szCs w:val="24"/>
        </w:rPr>
        <w:t xml:space="preserve">caution </w:t>
      </w:r>
      <w:r w:rsidRPr="000C2492">
        <w:rPr>
          <w:rFonts w:ascii="Times New Roman" w:hAnsi="Times New Roman" w:cs="Times New Roman"/>
          <w:sz w:val="24"/>
          <w:szCs w:val="24"/>
        </w:rPr>
        <w:t>must be read</w:t>
      </w:r>
      <w:r w:rsidR="00182672" w:rsidRPr="000C2492">
        <w:rPr>
          <w:rFonts w:ascii="Times New Roman" w:hAnsi="Times New Roman" w:cs="Times New Roman"/>
          <w:sz w:val="24"/>
          <w:szCs w:val="24"/>
        </w:rPr>
        <w:t xml:space="preserve"> to the accused</w:t>
      </w:r>
      <w:r w:rsidRPr="000C2492">
        <w:rPr>
          <w:rFonts w:ascii="Times New Roman" w:hAnsi="Times New Roman" w:cs="Times New Roman"/>
          <w:sz w:val="24"/>
          <w:szCs w:val="24"/>
        </w:rPr>
        <w:t>:</w:t>
      </w:r>
      <w:r w:rsidR="00A925E0" w:rsidRPr="000C2492">
        <w:rPr>
          <w:rStyle w:val="FootnoteReference"/>
          <w:rFonts w:ascii="Times New Roman" w:hAnsi="Times New Roman" w:cs="Times New Roman"/>
          <w:sz w:val="24"/>
          <w:szCs w:val="24"/>
        </w:rPr>
        <w:footnoteReference w:id="27"/>
      </w:r>
    </w:p>
    <w:p w14:paraId="1D5E5984" w14:textId="77777777" w:rsidR="00C07534" w:rsidRPr="000C2492" w:rsidRDefault="00DF49B4" w:rsidP="000C2492">
      <w:pPr>
        <w:ind w:left="720"/>
        <w:jc w:val="both"/>
        <w:rPr>
          <w:rFonts w:ascii="Times New Roman" w:hAnsi="Times New Roman" w:cs="Times New Roman"/>
          <w:sz w:val="24"/>
          <w:szCs w:val="24"/>
        </w:rPr>
      </w:pPr>
      <w:r w:rsidRPr="000C2492">
        <w:rPr>
          <w:rFonts w:ascii="Times New Roman" w:hAnsi="Times New Roman" w:cs="Times New Roman"/>
          <w:sz w:val="24"/>
          <w:szCs w:val="24"/>
        </w:rPr>
        <w:t xml:space="preserve">“You have been charged with </w:t>
      </w:r>
      <w:r w:rsidR="00C07534" w:rsidRPr="000C2492">
        <w:rPr>
          <w:rFonts w:ascii="Times New Roman" w:hAnsi="Times New Roman" w:cs="Times New Roman"/>
          <w:sz w:val="24"/>
          <w:szCs w:val="24"/>
        </w:rPr>
        <w:t>(</w:t>
      </w:r>
      <w:r w:rsidRPr="000C2492">
        <w:rPr>
          <w:rFonts w:ascii="Times New Roman" w:hAnsi="Times New Roman" w:cs="Times New Roman"/>
          <w:sz w:val="24"/>
          <w:szCs w:val="24"/>
        </w:rPr>
        <w:t>or informed that you may be prosecuted for</w:t>
      </w:r>
      <w:r w:rsidR="00C07534" w:rsidRPr="000C2492">
        <w:rPr>
          <w:rFonts w:ascii="Times New Roman" w:hAnsi="Times New Roman" w:cs="Times New Roman"/>
          <w:sz w:val="24"/>
          <w:szCs w:val="24"/>
        </w:rPr>
        <w:t>)</w:t>
      </w:r>
      <w:r w:rsidRPr="000C2492">
        <w:rPr>
          <w:rFonts w:ascii="Times New Roman" w:hAnsi="Times New Roman" w:cs="Times New Roman"/>
          <w:sz w:val="24"/>
          <w:szCs w:val="24"/>
        </w:rPr>
        <w:t xml:space="preserve"> [Charge]. </w:t>
      </w:r>
    </w:p>
    <w:p w14:paraId="48ED2958" w14:textId="54FA3209" w:rsidR="00DF49B4" w:rsidRPr="000C2492" w:rsidRDefault="00DF49B4" w:rsidP="000C2492">
      <w:pPr>
        <w:ind w:left="720"/>
        <w:jc w:val="both"/>
        <w:rPr>
          <w:rFonts w:ascii="Times New Roman" w:hAnsi="Times New Roman" w:cs="Times New Roman"/>
          <w:sz w:val="24"/>
          <w:szCs w:val="24"/>
        </w:rPr>
      </w:pPr>
      <w:r w:rsidRPr="000C2492">
        <w:rPr>
          <w:rFonts w:ascii="Times New Roman" w:hAnsi="Times New Roman" w:cs="Times New Roman"/>
          <w:sz w:val="24"/>
          <w:szCs w:val="24"/>
        </w:rPr>
        <w:t>Do you want to say anything about the charge that was just read to you? If you keep quiet now about any fact or matter in your defence and you reveal this fact or matter in your defence only at your trial, the judge may be less likely to believe you. This may have a bad effect on your case in court. Therefore, it may be better for you to mention such fact or matter now. If you wish to do so, what you say will be written down, read back to you for any mistakes to be corrected and then signed by you.”</w:t>
      </w:r>
    </w:p>
    <w:p w14:paraId="440CADF1" w14:textId="63C3E3E7" w:rsidR="00706D3C" w:rsidRPr="000C2492" w:rsidRDefault="00E01EEE" w:rsidP="000C2492">
      <w:pPr>
        <w:jc w:val="both"/>
        <w:rPr>
          <w:rFonts w:ascii="Times New Roman" w:hAnsi="Times New Roman" w:cs="Times New Roman"/>
          <w:sz w:val="24"/>
          <w:szCs w:val="24"/>
        </w:rPr>
      </w:pPr>
      <w:r>
        <w:rPr>
          <w:rFonts w:ascii="Times New Roman" w:hAnsi="Times New Roman" w:cs="Times New Roman"/>
          <w:sz w:val="24"/>
          <w:szCs w:val="24"/>
        </w:rPr>
        <w:t>Thus,</w:t>
      </w:r>
      <w:r w:rsidR="009D764F">
        <w:rPr>
          <w:rFonts w:ascii="Times New Roman" w:hAnsi="Times New Roman" w:cs="Times New Roman"/>
          <w:sz w:val="24"/>
          <w:szCs w:val="24"/>
        </w:rPr>
        <w:t xml:space="preserve"> a statement </w:t>
      </w:r>
      <w:r w:rsidR="000A153C">
        <w:rPr>
          <w:rFonts w:ascii="Times New Roman" w:hAnsi="Times New Roman" w:cs="Times New Roman"/>
          <w:sz w:val="24"/>
          <w:szCs w:val="24"/>
        </w:rPr>
        <w:t xml:space="preserve">under section 23 </w:t>
      </w:r>
      <w:r w:rsidR="009D764F">
        <w:rPr>
          <w:rFonts w:ascii="Times New Roman" w:hAnsi="Times New Roman" w:cs="Times New Roman"/>
          <w:sz w:val="24"/>
          <w:szCs w:val="24"/>
        </w:rPr>
        <w:t xml:space="preserve">is </w:t>
      </w:r>
      <w:r w:rsidR="001A682A">
        <w:rPr>
          <w:rFonts w:ascii="Times New Roman" w:hAnsi="Times New Roman" w:cs="Times New Roman"/>
          <w:sz w:val="24"/>
          <w:szCs w:val="24"/>
        </w:rPr>
        <w:t xml:space="preserve">also </w:t>
      </w:r>
      <w:r w:rsidR="00FB5C24">
        <w:rPr>
          <w:rFonts w:ascii="Times New Roman" w:hAnsi="Times New Roman" w:cs="Times New Roman"/>
          <w:sz w:val="24"/>
          <w:szCs w:val="24"/>
        </w:rPr>
        <w:t>known as</w:t>
      </w:r>
      <w:r w:rsidR="00FB5C24" w:rsidRPr="000C2492">
        <w:rPr>
          <w:rFonts w:ascii="Times New Roman" w:hAnsi="Times New Roman" w:cs="Times New Roman"/>
          <w:sz w:val="24"/>
          <w:szCs w:val="24"/>
        </w:rPr>
        <w:t xml:space="preserve"> </w:t>
      </w:r>
      <w:r w:rsidR="009D764F">
        <w:rPr>
          <w:rFonts w:ascii="Times New Roman" w:hAnsi="Times New Roman" w:cs="Times New Roman"/>
          <w:sz w:val="24"/>
          <w:szCs w:val="24"/>
        </w:rPr>
        <w:t xml:space="preserve">a </w:t>
      </w:r>
      <w:r w:rsidR="00DF49B4" w:rsidRPr="000C2492">
        <w:rPr>
          <w:rFonts w:ascii="Times New Roman" w:hAnsi="Times New Roman" w:cs="Times New Roman"/>
          <w:sz w:val="24"/>
          <w:szCs w:val="24"/>
        </w:rPr>
        <w:t>“cautioned statement”.</w:t>
      </w:r>
      <w:r w:rsidR="00A925E0" w:rsidRPr="000C2492">
        <w:rPr>
          <w:rStyle w:val="FootnoteReference"/>
          <w:rFonts w:ascii="Times New Roman" w:hAnsi="Times New Roman" w:cs="Times New Roman"/>
          <w:sz w:val="24"/>
          <w:szCs w:val="24"/>
        </w:rPr>
        <w:footnoteReference w:id="28"/>
      </w:r>
    </w:p>
    <w:p w14:paraId="502CFFF1" w14:textId="77777777" w:rsidR="00577EEF" w:rsidRPr="000C2492" w:rsidRDefault="00577EEF" w:rsidP="000C2492">
      <w:pPr>
        <w:jc w:val="both"/>
        <w:rPr>
          <w:rFonts w:ascii="Times New Roman" w:hAnsi="Times New Roman" w:cs="Times New Roman"/>
          <w:sz w:val="24"/>
          <w:szCs w:val="24"/>
        </w:rPr>
      </w:pPr>
    </w:p>
    <w:p w14:paraId="2BF6633B" w14:textId="4BEB2B53" w:rsidR="00DF49B4" w:rsidRPr="000C2492" w:rsidRDefault="00DF49B4" w:rsidP="000C2492">
      <w:pPr>
        <w:jc w:val="both"/>
        <w:rPr>
          <w:rFonts w:ascii="Times New Roman" w:hAnsi="Times New Roman" w:cs="Times New Roman"/>
          <w:sz w:val="24"/>
          <w:szCs w:val="24"/>
        </w:rPr>
      </w:pPr>
      <w:r w:rsidRPr="000C2492">
        <w:rPr>
          <w:rFonts w:ascii="Times New Roman" w:hAnsi="Times New Roman" w:cs="Times New Roman"/>
          <w:sz w:val="24"/>
          <w:szCs w:val="24"/>
        </w:rPr>
        <w:t xml:space="preserve">After the caution has been read, </w:t>
      </w:r>
      <w:r w:rsidR="00E116C7" w:rsidRPr="000C2492">
        <w:rPr>
          <w:rFonts w:ascii="Times New Roman" w:hAnsi="Times New Roman" w:cs="Times New Roman"/>
          <w:sz w:val="24"/>
          <w:szCs w:val="24"/>
        </w:rPr>
        <w:t xml:space="preserve">an accused can choose to remain silent. </w:t>
      </w:r>
      <w:r w:rsidR="00603424" w:rsidRPr="000C2492">
        <w:rPr>
          <w:rFonts w:ascii="Times New Roman" w:hAnsi="Times New Roman" w:cs="Times New Roman"/>
          <w:sz w:val="24"/>
          <w:szCs w:val="24"/>
        </w:rPr>
        <w:t xml:space="preserve">This reflects the accused’s right to silence </w:t>
      </w:r>
      <w:r w:rsidR="00243E99">
        <w:rPr>
          <w:rFonts w:ascii="Times New Roman" w:hAnsi="Times New Roman" w:cs="Times New Roman"/>
          <w:sz w:val="24"/>
          <w:szCs w:val="24"/>
        </w:rPr>
        <w:t>and/</w:t>
      </w:r>
      <w:r w:rsidR="00603424" w:rsidRPr="000C2492">
        <w:rPr>
          <w:rFonts w:ascii="Times New Roman" w:hAnsi="Times New Roman" w:cs="Times New Roman"/>
          <w:sz w:val="24"/>
          <w:szCs w:val="24"/>
        </w:rPr>
        <w:t>or privilege against self-incrimination.</w:t>
      </w:r>
      <w:r w:rsidR="00603424" w:rsidRPr="000C2492">
        <w:rPr>
          <w:rFonts w:ascii="Times New Roman" w:hAnsi="Times New Roman" w:cs="Times New Roman"/>
          <w:sz w:val="24"/>
          <w:szCs w:val="24"/>
          <w:vertAlign w:val="superscript"/>
        </w:rPr>
        <w:footnoteReference w:id="29"/>
      </w:r>
      <w:r w:rsidR="00603424" w:rsidRPr="000C2492">
        <w:rPr>
          <w:rFonts w:ascii="Times New Roman" w:hAnsi="Times New Roman" w:cs="Times New Roman"/>
          <w:sz w:val="24"/>
          <w:szCs w:val="24"/>
        </w:rPr>
        <w:t xml:space="preserve"> </w:t>
      </w:r>
      <w:r w:rsidR="00E116C7" w:rsidRPr="000C2492">
        <w:rPr>
          <w:rFonts w:ascii="Times New Roman" w:hAnsi="Times New Roman" w:cs="Times New Roman"/>
          <w:sz w:val="24"/>
          <w:szCs w:val="24"/>
        </w:rPr>
        <w:t xml:space="preserve">However, </w:t>
      </w:r>
      <w:r w:rsidRPr="000C2492">
        <w:rPr>
          <w:rFonts w:ascii="Times New Roman" w:hAnsi="Times New Roman" w:cs="Times New Roman"/>
          <w:sz w:val="24"/>
          <w:szCs w:val="24"/>
        </w:rPr>
        <w:t xml:space="preserve">if the accused chooses to remain silent, or demonstrates refusal to provide a statement by his conduct, </w:t>
      </w:r>
      <w:r w:rsidR="00FC29AF" w:rsidRPr="000C2492">
        <w:rPr>
          <w:rFonts w:ascii="Times New Roman" w:hAnsi="Times New Roman" w:cs="Times New Roman"/>
          <w:sz w:val="24"/>
          <w:szCs w:val="24"/>
        </w:rPr>
        <w:t xml:space="preserve">then </w:t>
      </w:r>
      <w:r w:rsidRPr="000C2492">
        <w:rPr>
          <w:rFonts w:ascii="Times New Roman" w:hAnsi="Times New Roman" w:cs="Times New Roman"/>
          <w:sz w:val="24"/>
          <w:szCs w:val="24"/>
        </w:rPr>
        <w:lastRenderedPageBreak/>
        <w:t>this fact must be recorded</w:t>
      </w:r>
      <w:r w:rsidR="00B8728A">
        <w:rPr>
          <w:rFonts w:ascii="Times New Roman" w:hAnsi="Times New Roman" w:cs="Times New Roman"/>
          <w:sz w:val="24"/>
          <w:szCs w:val="24"/>
        </w:rPr>
        <w:t>.</w:t>
      </w:r>
      <w:r w:rsidRPr="000C2492">
        <w:rPr>
          <w:rFonts w:ascii="Times New Roman" w:hAnsi="Times New Roman" w:cs="Times New Roman"/>
          <w:sz w:val="24"/>
          <w:szCs w:val="24"/>
          <w:vertAlign w:val="superscript"/>
        </w:rPr>
        <w:footnoteReference w:id="30"/>
      </w:r>
      <w:r w:rsidR="00B8728A">
        <w:rPr>
          <w:rFonts w:ascii="Times New Roman" w:hAnsi="Times New Roman" w:cs="Times New Roman"/>
          <w:sz w:val="24"/>
          <w:szCs w:val="24"/>
        </w:rPr>
        <w:t xml:space="preserve"> This might allow the court to draw an adverse inference (see below).</w:t>
      </w:r>
      <w:r w:rsidRPr="000C2492">
        <w:rPr>
          <w:rFonts w:ascii="Times New Roman" w:hAnsi="Times New Roman" w:cs="Times New Roman"/>
          <w:sz w:val="24"/>
          <w:szCs w:val="24"/>
        </w:rPr>
        <w:t xml:space="preserve"> </w:t>
      </w:r>
    </w:p>
    <w:p w14:paraId="64910EEC" w14:textId="77777777" w:rsidR="00DF49B4" w:rsidRPr="000C2492" w:rsidRDefault="00DF49B4" w:rsidP="000C2492">
      <w:pPr>
        <w:jc w:val="both"/>
        <w:rPr>
          <w:rFonts w:ascii="Times New Roman" w:hAnsi="Times New Roman" w:cs="Times New Roman"/>
          <w:sz w:val="24"/>
          <w:szCs w:val="24"/>
        </w:rPr>
      </w:pPr>
    </w:p>
    <w:p w14:paraId="37605F62" w14:textId="77777777" w:rsidR="00E17EC8" w:rsidRPr="000C2492" w:rsidRDefault="00E17EC8" w:rsidP="000C2492">
      <w:pPr>
        <w:pStyle w:val="Heading1"/>
        <w:jc w:val="both"/>
        <w:rPr>
          <w:rFonts w:cs="Times New Roman"/>
          <w:sz w:val="24"/>
          <w:szCs w:val="24"/>
        </w:rPr>
      </w:pPr>
      <w:r w:rsidRPr="000C2492">
        <w:rPr>
          <w:rFonts w:cs="Times New Roman"/>
          <w:sz w:val="24"/>
          <w:szCs w:val="24"/>
        </w:rPr>
        <w:t>Usage as evidence</w:t>
      </w:r>
    </w:p>
    <w:p w14:paraId="5698156E" w14:textId="380832B0" w:rsidR="000F1BC4" w:rsidRDefault="000D46D0" w:rsidP="000C2492">
      <w:pPr>
        <w:jc w:val="both"/>
        <w:rPr>
          <w:rFonts w:ascii="Times New Roman" w:hAnsi="Times New Roman" w:cs="Times New Roman"/>
          <w:sz w:val="24"/>
          <w:szCs w:val="24"/>
        </w:rPr>
      </w:pPr>
      <w:r>
        <w:rPr>
          <w:rFonts w:ascii="Times New Roman" w:hAnsi="Times New Roman" w:cs="Times New Roman"/>
          <w:sz w:val="24"/>
          <w:szCs w:val="24"/>
        </w:rPr>
        <w:t>S</w:t>
      </w:r>
      <w:r w:rsidR="00E17EC8" w:rsidRPr="000C2492">
        <w:rPr>
          <w:rFonts w:ascii="Times New Roman" w:hAnsi="Times New Roman" w:cs="Times New Roman"/>
          <w:sz w:val="24"/>
          <w:szCs w:val="24"/>
        </w:rPr>
        <w:t xml:space="preserve">tatements </w:t>
      </w:r>
      <w:r w:rsidR="0057271A" w:rsidRPr="000C2492">
        <w:rPr>
          <w:rFonts w:ascii="Times New Roman" w:hAnsi="Times New Roman" w:cs="Times New Roman"/>
          <w:sz w:val="24"/>
          <w:szCs w:val="24"/>
        </w:rPr>
        <w:t xml:space="preserve">that </w:t>
      </w:r>
      <w:r>
        <w:rPr>
          <w:rFonts w:ascii="Times New Roman" w:hAnsi="Times New Roman" w:cs="Times New Roman"/>
          <w:sz w:val="24"/>
          <w:szCs w:val="24"/>
        </w:rPr>
        <w:t>are</w:t>
      </w:r>
      <w:r w:rsidR="0057271A" w:rsidRPr="000C2492">
        <w:rPr>
          <w:rFonts w:ascii="Times New Roman" w:hAnsi="Times New Roman" w:cs="Times New Roman"/>
          <w:sz w:val="24"/>
          <w:szCs w:val="24"/>
        </w:rPr>
        <w:t xml:space="preserve"> recorded during investigations</w:t>
      </w:r>
      <w:r w:rsidR="00CC1EBA">
        <w:rPr>
          <w:rFonts w:ascii="Times New Roman" w:hAnsi="Times New Roman" w:cs="Times New Roman"/>
          <w:sz w:val="24"/>
          <w:szCs w:val="24"/>
        </w:rPr>
        <w:t xml:space="preserve"> (</w:t>
      </w:r>
      <w:r w:rsidR="00FE0E0D">
        <w:rPr>
          <w:rFonts w:ascii="Times New Roman" w:hAnsi="Times New Roman" w:cs="Times New Roman"/>
          <w:sz w:val="24"/>
          <w:szCs w:val="24"/>
        </w:rPr>
        <w:t>whether under section 22 or 23</w:t>
      </w:r>
      <w:r w:rsidR="00CC1EBA">
        <w:rPr>
          <w:rFonts w:ascii="Times New Roman" w:hAnsi="Times New Roman" w:cs="Times New Roman"/>
          <w:sz w:val="24"/>
          <w:szCs w:val="24"/>
        </w:rPr>
        <w:t>)</w:t>
      </w:r>
      <w:r w:rsidR="0057271A" w:rsidRPr="000C2492">
        <w:rPr>
          <w:rFonts w:ascii="Times New Roman" w:hAnsi="Times New Roman" w:cs="Times New Roman"/>
          <w:sz w:val="24"/>
          <w:szCs w:val="24"/>
        </w:rPr>
        <w:t xml:space="preserve"> </w:t>
      </w:r>
      <w:r w:rsidR="00E17EC8" w:rsidRPr="000C2492">
        <w:rPr>
          <w:rFonts w:ascii="Times New Roman" w:hAnsi="Times New Roman" w:cs="Times New Roman"/>
          <w:sz w:val="24"/>
          <w:szCs w:val="24"/>
        </w:rPr>
        <w:t>play an important role as evidence.</w:t>
      </w:r>
      <w:r w:rsidR="00E17EC8" w:rsidRPr="000C2492">
        <w:rPr>
          <w:rFonts w:ascii="Times New Roman" w:hAnsi="Times New Roman" w:cs="Times New Roman"/>
          <w:sz w:val="24"/>
          <w:szCs w:val="24"/>
          <w:vertAlign w:val="superscript"/>
        </w:rPr>
        <w:footnoteReference w:id="31"/>
      </w:r>
      <w:r w:rsidR="00E17EC8" w:rsidRPr="000C2492">
        <w:rPr>
          <w:rFonts w:ascii="Times New Roman" w:hAnsi="Times New Roman" w:cs="Times New Roman"/>
          <w:sz w:val="24"/>
          <w:szCs w:val="24"/>
        </w:rPr>
        <w:t xml:space="preserve"> </w:t>
      </w:r>
      <w:r w:rsidR="00A84CE4">
        <w:rPr>
          <w:rFonts w:ascii="Times New Roman" w:hAnsi="Times New Roman" w:cs="Times New Roman"/>
          <w:sz w:val="24"/>
          <w:szCs w:val="24"/>
        </w:rPr>
        <w:t>G</w:t>
      </w:r>
      <w:r w:rsidR="00523BFA">
        <w:rPr>
          <w:rFonts w:ascii="Times New Roman" w:hAnsi="Times New Roman" w:cs="Times New Roman"/>
          <w:sz w:val="24"/>
          <w:szCs w:val="24"/>
        </w:rPr>
        <w:t>e</w:t>
      </w:r>
      <w:r w:rsidR="00A84CE4">
        <w:rPr>
          <w:rFonts w:ascii="Times New Roman" w:hAnsi="Times New Roman" w:cs="Times New Roman"/>
          <w:sz w:val="24"/>
          <w:szCs w:val="24"/>
        </w:rPr>
        <w:t>nerally</w:t>
      </w:r>
      <w:r w:rsidR="001B7C67">
        <w:rPr>
          <w:rFonts w:ascii="Times New Roman" w:hAnsi="Times New Roman" w:cs="Times New Roman"/>
          <w:sz w:val="24"/>
          <w:szCs w:val="24"/>
        </w:rPr>
        <w:t xml:space="preserve">, </w:t>
      </w:r>
      <w:r w:rsidR="00351DF2">
        <w:rPr>
          <w:rFonts w:ascii="Times New Roman" w:hAnsi="Times New Roman" w:cs="Times New Roman"/>
          <w:sz w:val="24"/>
          <w:szCs w:val="24"/>
        </w:rPr>
        <w:t xml:space="preserve">evidence is </w:t>
      </w:r>
      <w:r w:rsidR="001B7C67">
        <w:rPr>
          <w:rFonts w:ascii="Times New Roman" w:hAnsi="Times New Roman" w:cs="Times New Roman"/>
          <w:sz w:val="24"/>
          <w:szCs w:val="24"/>
        </w:rPr>
        <w:t>used to</w:t>
      </w:r>
      <w:r w:rsidR="00E17EC8" w:rsidRPr="000C2492">
        <w:rPr>
          <w:rFonts w:ascii="Times New Roman" w:hAnsi="Times New Roman" w:cs="Times New Roman"/>
          <w:sz w:val="24"/>
          <w:szCs w:val="24"/>
        </w:rPr>
        <w:t xml:space="preserve"> prov</w:t>
      </w:r>
      <w:r w:rsidR="001B7C67">
        <w:rPr>
          <w:rFonts w:ascii="Times New Roman" w:hAnsi="Times New Roman" w:cs="Times New Roman"/>
          <w:sz w:val="24"/>
          <w:szCs w:val="24"/>
        </w:rPr>
        <w:t>e</w:t>
      </w:r>
      <w:r w:rsidR="00E17EC8" w:rsidRPr="000C2492">
        <w:rPr>
          <w:rFonts w:ascii="Times New Roman" w:hAnsi="Times New Roman" w:cs="Times New Roman"/>
          <w:sz w:val="24"/>
          <w:szCs w:val="24"/>
        </w:rPr>
        <w:t xml:space="preserve"> </w:t>
      </w:r>
      <w:r w:rsidR="00351DF2">
        <w:rPr>
          <w:rFonts w:ascii="Times New Roman" w:hAnsi="Times New Roman" w:cs="Times New Roman"/>
          <w:sz w:val="24"/>
          <w:szCs w:val="24"/>
        </w:rPr>
        <w:t xml:space="preserve">the existence (or absence) of relevant </w:t>
      </w:r>
      <w:r w:rsidR="00E17EC8" w:rsidRPr="000C2492">
        <w:rPr>
          <w:rFonts w:ascii="Times New Roman" w:hAnsi="Times New Roman" w:cs="Times New Roman"/>
          <w:sz w:val="24"/>
          <w:szCs w:val="24"/>
        </w:rPr>
        <w:t>facts</w:t>
      </w:r>
      <w:r w:rsidR="00351DF2">
        <w:rPr>
          <w:rFonts w:ascii="Times New Roman" w:hAnsi="Times New Roman" w:cs="Times New Roman"/>
          <w:sz w:val="24"/>
          <w:szCs w:val="24"/>
        </w:rPr>
        <w:t>.</w:t>
      </w:r>
      <w:r w:rsidR="00E17EC8" w:rsidRPr="000C2492">
        <w:rPr>
          <w:rFonts w:ascii="Times New Roman" w:hAnsi="Times New Roman" w:cs="Times New Roman"/>
          <w:sz w:val="24"/>
          <w:szCs w:val="24"/>
        </w:rPr>
        <w:t xml:space="preserve"> </w:t>
      </w:r>
      <w:r w:rsidR="000F1BC4">
        <w:rPr>
          <w:rStyle w:val="FootnoteReference"/>
          <w:rFonts w:ascii="Times New Roman" w:hAnsi="Times New Roman" w:cs="Times New Roman"/>
          <w:sz w:val="24"/>
          <w:szCs w:val="24"/>
        </w:rPr>
        <w:footnoteReference w:id="32"/>
      </w:r>
      <w:r w:rsidR="003E7E50">
        <w:rPr>
          <w:rFonts w:ascii="Times New Roman" w:hAnsi="Times New Roman" w:cs="Times New Roman"/>
          <w:sz w:val="24"/>
          <w:szCs w:val="24"/>
        </w:rPr>
        <w:t xml:space="preserve"> </w:t>
      </w:r>
      <w:r w:rsidR="0043094E">
        <w:rPr>
          <w:rFonts w:ascii="Times New Roman" w:hAnsi="Times New Roman" w:cs="Times New Roman"/>
          <w:sz w:val="24"/>
          <w:szCs w:val="24"/>
        </w:rPr>
        <w:t>Therefore</w:t>
      </w:r>
      <w:r w:rsidR="008C2D4D">
        <w:rPr>
          <w:rFonts w:ascii="Times New Roman" w:hAnsi="Times New Roman" w:cs="Times New Roman"/>
          <w:sz w:val="24"/>
          <w:szCs w:val="24"/>
        </w:rPr>
        <w:t>, s</w:t>
      </w:r>
      <w:r w:rsidR="003E7E50">
        <w:rPr>
          <w:rFonts w:ascii="Times New Roman" w:hAnsi="Times New Roman" w:cs="Times New Roman"/>
          <w:sz w:val="24"/>
          <w:szCs w:val="24"/>
        </w:rPr>
        <w:t xml:space="preserve">tatements </w:t>
      </w:r>
      <w:r w:rsidR="00445E5E">
        <w:rPr>
          <w:rFonts w:ascii="Times New Roman" w:hAnsi="Times New Roman" w:cs="Times New Roman"/>
          <w:sz w:val="24"/>
          <w:szCs w:val="24"/>
        </w:rPr>
        <w:t xml:space="preserve">can </w:t>
      </w:r>
      <w:r w:rsidR="00D7449E">
        <w:rPr>
          <w:rFonts w:ascii="Times New Roman" w:hAnsi="Times New Roman" w:cs="Times New Roman"/>
          <w:sz w:val="24"/>
          <w:szCs w:val="24"/>
        </w:rPr>
        <w:t xml:space="preserve">be </w:t>
      </w:r>
      <w:r w:rsidR="003E7E50">
        <w:rPr>
          <w:rFonts w:ascii="Times New Roman" w:hAnsi="Times New Roman" w:cs="Times New Roman"/>
          <w:sz w:val="24"/>
          <w:szCs w:val="24"/>
        </w:rPr>
        <w:t xml:space="preserve">used </w:t>
      </w:r>
      <w:r w:rsidR="003A4848">
        <w:rPr>
          <w:rFonts w:ascii="Times New Roman" w:hAnsi="Times New Roman" w:cs="Times New Roman"/>
          <w:sz w:val="24"/>
          <w:szCs w:val="24"/>
        </w:rPr>
        <w:t xml:space="preserve">to prove </w:t>
      </w:r>
      <w:r w:rsidR="00CE4FC5">
        <w:rPr>
          <w:rFonts w:ascii="Times New Roman" w:hAnsi="Times New Roman" w:cs="Times New Roman"/>
          <w:sz w:val="24"/>
          <w:szCs w:val="24"/>
        </w:rPr>
        <w:t xml:space="preserve">(or disprove) </w:t>
      </w:r>
      <w:r w:rsidR="003A532E">
        <w:rPr>
          <w:rFonts w:ascii="Times New Roman" w:hAnsi="Times New Roman" w:cs="Times New Roman"/>
          <w:sz w:val="24"/>
          <w:szCs w:val="24"/>
        </w:rPr>
        <w:t xml:space="preserve">the </w:t>
      </w:r>
      <w:r>
        <w:rPr>
          <w:rFonts w:ascii="Times New Roman" w:hAnsi="Times New Roman" w:cs="Times New Roman"/>
          <w:sz w:val="24"/>
          <w:szCs w:val="24"/>
        </w:rPr>
        <w:t>“</w:t>
      </w:r>
      <w:r w:rsidR="00445E5E">
        <w:rPr>
          <w:rFonts w:ascii="Times New Roman" w:hAnsi="Times New Roman" w:cs="Times New Roman"/>
          <w:sz w:val="24"/>
          <w:szCs w:val="24"/>
        </w:rPr>
        <w:t>elements</w:t>
      </w:r>
      <w:r>
        <w:rPr>
          <w:rFonts w:ascii="Times New Roman" w:hAnsi="Times New Roman" w:cs="Times New Roman"/>
          <w:sz w:val="24"/>
          <w:szCs w:val="24"/>
        </w:rPr>
        <w:t>”</w:t>
      </w:r>
      <w:r w:rsidR="00445E5E">
        <w:rPr>
          <w:rFonts w:ascii="Times New Roman" w:hAnsi="Times New Roman" w:cs="Times New Roman"/>
          <w:sz w:val="24"/>
          <w:szCs w:val="24"/>
        </w:rPr>
        <w:t xml:space="preserve"> of a crime, </w:t>
      </w:r>
      <w:r w:rsidR="003A532E">
        <w:rPr>
          <w:rFonts w:ascii="Times New Roman" w:hAnsi="Times New Roman" w:cs="Times New Roman"/>
          <w:sz w:val="24"/>
          <w:szCs w:val="24"/>
        </w:rPr>
        <w:t xml:space="preserve">and </w:t>
      </w:r>
      <w:r w:rsidR="00445E5E">
        <w:rPr>
          <w:rFonts w:ascii="Times New Roman" w:hAnsi="Times New Roman" w:cs="Times New Roman"/>
          <w:sz w:val="24"/>
          <w:szCs w:val="24"/>
        </w:rPr>
        <w:t xml:space="preserve">thereby </w:t>
      </w:r>
      <w:r w:rsidR="003A532E">
        <w:rPr>
          <w:rFonts w:ascii="Times New Roman" w:hAnsi="Times New Roman" w:cs="Times New Roman"/>
          <w:sz w:val="24"/>
          <w:szCs w:val="24"/>
        </w:rPr>
        <w:t xml:space="preserve">support </w:t>
      </w:r>
      <w:r w:rsidR="00445E5E">
        <w:rPr>
          <w:rFonts w:ascii="Times New Roman" w:hAnsi="Times New Roman" w:cs="Times New Roman"/>
          <w:sz w:val="24"/>
          <w:szCs w:val="24"/>
        </w:rPr>
        <w:t xml:space="preserve">a </w:t>
      </w:r>
      <w:r w:rsidR="003E7E50">
        <w:rPr>
          <w:rFonts w:ascii="Times New Roman" w:hAnsi="Times New Roman" w:cs="Times New Roman"/>
          <w:sz w:val="24"/>
          <w:szCs w:val="24"/>
        </w:rPr>
        <w:t>conviction.</w:t>
      </w:r>
    </w:p>
    <w:p w14:paraId="7F79E245" w14:textId="77777777" w:rsidR="00CA15BC" w:rsidRDefault="00CA15BC" w:rsidP="000C2492">
      <w:pPr>
        <w:jc w:val="both"/>
        <w:rPr>
          <w:rFonts w:ascii="Times New Roman" w:hAnsi="Times New Roman" w:cs="Times New Roman"/>
          <w:sz w:val="24"/>
          <w:szCs w:val="24"/>
        </w:rPr>
      </w:pPr>
    </w:p>
    <w:p w14:paraId="5FAAA50F" w14:textId="2A3CB545" w:rsidR="005476E7" w:rsidRDefault="00574B82" w:rsidP="000C2492">
      <w:pPr>
        <w:jc w:val="both"/>
        <w:rPr>
          <w:rFonts w:ascii="Times New Roman" w:hAnsi="Times New Roman" w:cs="Times New Roman"/>
          <w:sz w:val="24"/>
          <w:szCs w:val="24"/>
        </w:rPr>
      </w:pPr>
      <w:r>
        <w:rPr>
          <w:rFonts w:ascii="Times New Roman" w:hAnsi="Times New Roman" w:cs="Times New Roman"/>
          <w:sz w:val="24"/>
          <w:szCs w:val="24"/>
        </w:rPr>
        <w:t xml:space="preserve">However, </w:t>
      </w:r>
      <w:r w:rsidR="002F7845">
        <w:rPr>
          <w:rFonts w:ascii="Times New Roman" w:hAnsi="Times New Roman" w:cs="Times New Roman"/>
          <w:sz w:val="24"/>
          <w:szCs w:val="24"/>
        </w:rPr>
        <w:t>these</w:t>
      </w:r>
      <w:r>
        <w:rPr>
          <w:rFonts w:ascii="Times New Roman" w:hAnsi="Times New Roman" w:cs="Times New Roman"/>
          <w:sz w:val="24"/>
          <w:szCs w:val="24"/>
        </w:rPr>
        <w:t xml:space="preserve"> statements also serve other purposes. For instance,</w:t>
      </w:r>
      <w:r w:rsidR="00E17EC8" w:rsidRPr="000C249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17EC8" w:rsidRPr="000C2492">
        <w:rPr>
          <w:rFonts w:ascii="Times New Roman" w:hAnsi="Times New Roman" w:cs="Times New Roman"/>
          <w:sz w:val="24"/>
          <w:szCs w:val="24"/>
        </w:rPr>
        <w:t>full and frank disclosure of</w:t>
      </w:r>
      <w:r w:rsidR="00824EA6">
        <w:rPr>
          <w:rFonts w:ascii="Times New Roman" w:hAnsi="Times New Roman" w:cs="Times New Roman"/>
          <w:sz w:val="24"/>
          <w:szCs w:val="24"/>
        </w:rPr>
        <w:t xml:space="preserve"> </w:t>
      </w:r>
      <w:r w:rsidR="00824EA6" w:rsidRPr="00AA1E01">
        <w:rPr>
          <w:rFonts w:ascii="Times New Roman" w:hAnsi="Times New Roman"/>
          <w:sz w:val="24"/>
        </w:rPr>
        <w:t>the accused’s</w:t>
      </w:r>
      <w:r w:rsidR="00E17EC8" w:rsidRPr="000C2492">
        <w:rPr>
          <w:rFonts w:ascii="Times New Roman" w:hAnsi="Times New Roman" w:cs="Times New Roman"/>
          <w:sz w:val="24"/>
          <w:szCs w:val="24"/>
        </w:rPr>
        <w:t xml:space="preserve"> criminal activities through</w:t>
      </w:r>
      <w:r w:rsidR="00824EA6">
        <w:rPr>
          <w:rFonts w:ascii="Times New Roman" w:hAnsi="Times New Roman" w:cs="Times New Roman"/>
          <w:sz w:val="24"/>
          <w:szCs w:val="24"/>
        </w:rPr>
        <w:t xml:space="preserve"> his/her</w:t>
      </w:r>
      <w:r w:rsidR="00E17EC8" w:rsidRPr="000C2492">
        <w:rPr>
          <w:rFonts w:ascii="Times New Roman" w:hAnsi="Times New Roman" w:cs="Times New Roman"/>
          <w:sz w:val="24"/>
          <w:szCs w:val="24"/>
        </w:rPr>
        <w:t xml:space="preserve"> statements might affect the nature and gravity of his/her sentence.</w:t>
      </w:r>
      <w:r w:rsidR="00E17EC8" w:rsidRPr="000C2492">
        <w:rPr>
          <w:rFonts w:ascii="Times New Roman" w:hAnsi="Times New Roman" w:cs="Times New Roman"/>
          <w:sz w:val="24"/>
          <w:szCs w:val="24"/>
          <w:vertAlign w:val="superscript"/>
        </w:rPr>
        <w:footnoteReference w:id="33"/>
      </w:r>
      <w:r w:rsidR="00E17EC8" w:rsidRPr="000C2492">
        <w:rPr>
          <w:rFonts w:ascii="Times New Roman" w:hAnsi="Times New Roman" w:cs="Times New Roman"/>
          <w:sz w:val="24"/>
          <w:szCs w:val="24"/>
        </w:rPr>
        <w:t xml:space="preserve"> </w:t>
      </w:r>
      <w:r w:rsidR="002345D0" w:rsidRPr="000C2492">
        <w:rPr>
          <w:rFonts w:ascii="Times New Roman" w:hAnsi="Times New Roman" w:cs="Times New Roman"/>
          <w:sz w:val="24"/>
          <w:szCs w:val="24"/>
        </w:rPr>
        <w:t>This is because p</w:t>
      </w:r>
      <w:r w:rsidR="00E17EC8" w:rsidRPr="000C2492">
        <w:rPr>
          <w:rFonts w:ascii="Times New Roman" w:hAnsi="Times New Roman" w:cs="Times New Roman"/>
          <w:sz w:val="24"/>
          <w:szCs w:val="24"/>
        </w:rPr>
        <w:t xml:space="preserve">roviding truthful statements </w:t>
      </w:r>
      <w:r w:rsidR="002F4128">
        <w:rPr>
          <w:rFonts w:ascii="Times New Roman" w:hAnsi="Times New Roman" w:cs="Times New Roman"/>
          <w:sz w:val="24"/>
          <w:szCs w:val="24"/>
        </w:rPr>
        <w:t>could</w:t>
      </w:r>
      <w:r w:rsidR="002F4128" w:rsidRPr="000C2492">
        <w:rPr>
          <w:rFonts w:ascii="Times New Roman" w:hAnsi="Times New Roman" w:cs="Times New Roman"/>
          <w:sz w:val="24"/>
          <w:szCs w:val="24"/>
        </w:rPr>
        <w:t xml:space="preserve"> </w:t>
      </w:r>
      <w:r w:rsidR="00E17EC8" w:rsidRPr="000C2492">
        <w:rPr>
          <w:rFonts w:ascii="Times New Roman" w:hAnsi="Times New Roman" w:cs="Times New Roman"/>
          <w:sz w:val="24"/>
          <w:szCs w:val="24"/>
        </w:rPr>
        <w:t>indicate</w:t>
      </w:r>
      <w:r w:rsidR="0016429F">
        <w:rPr>
          <w:rFonts w:ascii="Times New Roman" w:hAnsi="Times New Roman" w:cs="Times New Roman"/>
          <w:sz w:val="24"/>
          <w:szCs w:val="24"/>
        </w:rPr>
        <w:t xml:space="preserve"> the accused’s</w:t>
      </w:r>
      <w:r w:rsidR="00E17EC8" w:rsidRPr="000C2492">
        <w:rPr>
          <w:rFonts w:ascii="Times New Roman" w:hAnsi="Times New Roman" w:cs="Times New Roman"/>
          <w:sz w:val="24"/>
          <w:szCs w:val="24"/>
        </w:rPr>
        <w:t xml:space="preserve"> genuine remorse </w:t>
      </w:r>
      <w:r w:rsidR="00BC6B53">
        <w:rPr>
          <w:rFonts w:ascii="Times New Roman" w:hAnsi="Times New Roman" w:cs="Times New Roman"/>
          <w:sz w:val="24"/>
          <w:szCs w:val="24"/>
        </w:rPr>
        <w:t>in</w:t>
      </w:r>
      <w:r w:rsidR="00BC6B53" w:rsidRPr="000C2492">
        <w:rPr>
          <w:rFonts w:ascii="Times New Roman" w:hAnsi="Times New Roman" w:cs="Times New Roman"/>
          <w:sz w:val="24"/>
          <w:szCs w:val="24"/>
        </w:rPr>
        <w:t xml:space="preserve"> </w:t>
      </w:r>
      <w:r w:rsidR="00E17EC8" w:rsidRPr="000C2492">
        <w:rPr>
          <w:rFonts w:ascii="Times New Roman" w:hAnsi="Times New Roman" w:cs="Times New Roman"/>
          <w:sz w:val="24"/>
          <w:szCs w:val="24"/>
        </w:rPr>
        <w:t>acknowledging the seriousness of the offence and its implications</w:t>
      </w:r>
      <w:r w:rsidR="00F703AB" w:rsidRPr="000C2492">
        <w:rPr>
          <w:rFonts w:ascii="Times New Roman" w:hAnsi="Times New Roman" w:cs="Times New Roman"/>
          <w:sz w:val="24"/>
          <w:szCs w:val="24"/>
        </w:rPr>
        <w:t>,</w:t>
      </w:r>
      <w:r w:rsidR="00E17EC8" w:rsidRPr="000C2492">
        <w:rPr>
          <w:rFonts w:ascii="Times New Roman" w:hAnsi="Times New Roman" w:cs="Times New Roman"/>
          <w:sz w:val="24"/>
          <w:szCs w:val="24"/>
          <w:vertAlign w:val="superscript"/>
        </w:rPr>
        <w:footnoteReference w:id="34"/>
      </w:r>
      <w:r w:rsidR="00E17EC8" w:rsidRPr="000C2492">
        <w:rPr>
          <w:rFonts w:ascii="Times New Roman" w:hAnsi="Times New Roman" w:cs="Times New Roman"/>
          <w:sz w:val="24"/>
          <w:szCs w:val="24"/>
        </w:rPr>
        <w:t xml:space="preserve"> </w:t>
      </w:r>
      <w:r w:rsidR="00F703AB" w:rsidRPr="000C2492">
        <w:rPr>
          <w:rFonts w:ascii="Times New Roman" w:hAnsi="Times New Roman" w:cs="Times New Roman"/>
          <w:sz w:val="24"/>
          <w:szCs w:val="24"/>
        </w:rPr>
        <w:t>or</w:t>
      </w:r>
      <w:r w:rsidR="00E17EC8" w:rsidRPr="000C2492">
        <w:rPr>
          <w:rFonts w:ascii="Times New Roman" w:hAnsi="Times New Roman" w:cs="Times New Roman"/>
          <w:sz w:val="24"/>
          <w:szCs w:val="24"/>
        </w:rPr>
        <w:t xml:space="preserve"> </w:t>
      </w:r>
      <w:r w:rsidR="00F703AB" w:rsidRPr="000C2492">
        <w:rPr>
          <w:rFonts w:ascii="Times New Roman" w:hAnsi="Times New Roman" w:cs="Times New Roman"/>
          <w:sz w:val="24"/>
          <w:szCs w:val="24"/>
        </w:rPr>
        <w:t xml:space="preserve">show </w:t>
      </w:r>
      <w:r w:rsidR="00BC6B53">
        <w:rPr>
          <w:rFonts w:ascii="Times New Roman" w:hAnsi="Times New Roman" w:cs="Times New Roman"/>
          <w:sz w:val="24"/>
          <w:szCs w:val="24"/>
        </w:rPr>
        <w:t>the accused’s</w:t>
      </w:r>
      <w:r w:rsidR="00A565D1" w:rsidRPr="000C2492">
        <w:rPr>
          <w:rFonts w:ascii="Times New Roman" w:hAnsi="Times New Roman" w:cs="Times New Roman"/>
          <w:sz w:val="24"/>
          <w:szCs w:val="24"/>
        </w:rPr>
        <w:t xml:space="preserve"> </w:t>
      </w:r>
      <w:r w:rsidR="00E17EC8" w:rsidRPr="000C2492">
        <w:rPr>
          <w:rFonts w:ascii="Times New Roman" w:hAnsi="Times New Roman" w:cs="Times New Roman"/>
          <w:sz w:val="24"/>
          <w:szCs w:val="24"/>
        </w:rPr>
        <w:t>cooperation with the police.</w:t>
      </w:r>
      <w:r w:rsidR="00E17EC8" w:rsidRPr="000C2492">
        <w:rPr>
          <w:rFonts w:ascii="Times New Roman" w:hAnsi="Times New Roman" w:cs="Times New Roman"/>
          <w:sz w:val="24"/>
          <w:szCs w:val="24"/>
          <w:vertAlign w:val="superscript"/>
        </w:rPr>
        <w:footnoteReference w:id="35"/>
      </w:r>
      <w:r w:rsidR="00E17EC8" w:rsidRPr="000C2492">
        <w:rPr>
          <w:rFonts w:ascii="Times New Roman" w:hAnsi="Times New Roman" w:cs="Times New Roman"/>
          <w:sz w:val="24"/>
          <w:szCs w:val="24"/>
        </w:rPr>
        <w:t xml:space="preserve"> </w:t>
      </w:r>
    </w:p>
    <w:p w14:paraId="66326FB6" w14:textId="77777777" w:rsidR="005476E7" w:rsidRDefault="005476E7" w:rsidP="000C2492">
      <w:pPr>
        <w:jc w:val="both"/>
        <w:rPr>
          <w:rFonts w:ascii="Times New Roman" w:hAnsi="Times New Roman" w:cs="Times New Roman"/>
          <w:sz w:val="24"/>
          <w:szCs w:val="24"/>
        </w:rPr>
      </w:pPr>
    </w:p>
    <w:p w14:paraId="711551A1" w14:textId="1E25B54E" w:rsidR="001B78C2" w:rsidRPr="000C2492" w:rsidRDefault="007E2CAF" w:rsidP="000C2492">
      <w:pPr>
        <w:jc w:val="both"/>
        <w:rPr>
          <w:rFonts w:ascii="Times New Roman" w:hAnsi="Times New Roman" w:cs="Times New Roman"/>
          <w:sz w:val="24"/>
          <w:szCs w:val="24"/>
        </w:rPr>
      </w:pPr>
      <w:r>
        <w:rPr>
          <w:rFonts w:ascii="Times New Roman" w:hAnsi="Times New Roman" w:cs="Times New Roman"/>
          <w:sz w:val="24"/>
          <w:szCs w:val="24"/>
        </w:rPr>
        <w:t>For example, i</w:t>
      </w:r>
      <w:r w:rsidRPr="007E2CAF">
        <w:rPr>
          <w:rFonts w:ascii="Times New Roman" w:hAnsi="Times New Roman" w:cs="Times New Roman"/>
          <w:sz w:val="24"/>
          <w:szCs w:val="24"/>
        </w:rPr>
        <w:t xml:space="preserve">n </w:t>
      </w:r>
      <w:r w:rsidRPr="00AA1E01">
        <w:rPr>
          <w:i/>
          <w:sz w:val="24"/>
        </w:rPr>
        <w:t>Public Prosecutor</w:t>
      </w:r>
      <w:r w:rsidRPr="007E2CAF">
        <w:rPr>
          <w:i/>
          <w:iCs/>
          <w:sz w:val="24"/>
          <w:szCs w:val="24"/>
        </w:rPr>
        <w:t xml:space="preserve"> v Wong Jia Yi</w:t>
      </w:r>
      <w:r w:rsidRPr="00AA1E01">
        <w:rPr>
          <w:sz w:val="24"/>
        </w:rPr>
        <w:t xml:space="preserve">, the accused </w:t>
      </w:r>
      <w:r w:rsidRPr="007E2CAF">
        <w:rPr>
          <w:sz w:val="24"/>
          <w:szCs w:val="24"/>
        </w:rPr>
        <w:t>had cooperated fully with the police during pre-sentence interviews, and even furnished</w:t>
      </w:r>
      <w:r w:rsidRPr="00AA1E01">
        <w:rPr>
          <w:sz w:val="24"/>
        </w:rPr>
        <w:t xml:space="preserve"> information </w:t>
      </w:r>
      <w:r w:rsidRPr="007E2CAF">
        <w:rPr>
          <w:sz w:val="24"/>
          <w:szCs w:val="24"/>
        </w:rPr>
        <w:t>as</w:t>
      </w:r>
      <w:r w:rsidRPr="00AA1E01">
        <w:rPr>
          <w:sz w:val="24"/>
        </w:rPr>
        <w:t xml:space="preserve"> to </w:t>
      </w:r>
      <w:r w:rsidRPr="007E2CAF">
        <w:rPr>
          <w:sz w:val="24"/>
          <w:szCs w:val="24"/>
        </w:rPr>
        <w:t>her drug sources.</w:t>
      </w:r>
      <w:r w:rsidRPr="00AA1E01">
        <w:rPr>
          <w:rStyle w:val="FootnoteReference"/>
          <w:sz w:val="24"/>
        </w:rPr>
        <w:footnoteReference w:id="36"/>
      </w:r>
      <w:r w:rsidR="009F178C">
        <w:rPr>
          <w:rFonts w:ascii="Times New Roman" w:hAnsi="Times New Roman" w:cs="Times New Roman"/>
          <w:sz w:val="24"/>
          <w:szCs w:val="24"/>
        </w:rPr>
        <w:t xml:space="preserve"> </w:t>
      </w:r>
      <w:r w:rsidR="00B13D28" w:rsidRPr="000C2492">
        <w:rPr>
          <w:rFonts w:ascii="Times New Roman" w:hAnsi="Times New Roman" w:cs="Times New Roman"/>
          <w:sz w:val="24"/>
          <w:szCs w:val="24"/>
        </w:rPr>
        <w:t>This demonstrated genuine remorse, and the appeal for probation was therefore allowed.</w:t>
      </w:r>
      <w:r w:rsidR="00B13D28" w:rsidRPr="000C2492">
        <w:rPr>
          <w:rStyle w:val="FootnoteReference"/>
          <w:rFonts w:ascii="Times New Roman" w:hAnsi="Times New Roman" w:cs="Times New Roman"/>
          <w:sz w:val="24"/>
          <w:szCs w:val="24"/>
        </w:rPr>
        <w:footnoteReference w:id="37"/>
      </w:r>
      <w:r w:rsidR="00B13D28" w:rsidRPr="000C2492">
        <w:rPr>
          <w:rFonts w:ascii="Times New Roman" w:hAnsi="Times New Roman" w:cs="Times New Roman"/>
          <w:sz w:val="24"/>
          <w:szCs w:val="24"/>
        </w:rPr>
        <w:t xml:space="preserve"> I</w:t>
      </w:r>
      <w:r w:rsidR="001B78C2" w:rsidRPr="000C2492">
        <w:rPr>
          <w:rFonts w:ascii="Times New Roman" w:hAnsi="Times New Roman" w:cs="Times New Roman"/>
          <w:sz w:val="24"/>
          <w:szCs w:val="24"/>
        </w:rPr>
        <w:t xml:space="preserve">n </w:t>
      </w:r>
      <w:r w:rsidR="001B78C2" w:rsidRPr="000C2492">
        <w:rPr>
          <w:rFonts w:ascii="Times New Roman" w:hAnsi="Times New Roman" w:cs="Times New Roman"/>
          <w:i/>
          <w:iCs/>
          <w:sz w:val="24"/>
          <w:szCs w:val="24"/>
        </w:rPr>
        <w:t>A Karthik v P</w:t>
      </w:r>
      <w:r w:rsidR="00B72F62" w:rsidRPr="000C2492">
        <w:rPr>
          <w:rFonts w:ascii="Times New Roman" w:hAnsi="Times New Roman" w:cs="Times New Roman"/>
          <w:i/>
          <w:iCs/>
          <w:sz w:val="24"/>
          <w:szCs w:val="24"/>
        </w:rPr>
        <w:t xml:space="preserve">ublic </w:t>
      </w:r>
      <w:r w:rsidR="001B78C2" w:rsidRPr="000C2492">
        <w:rPr>
          <w:rFonts w:ascii="Times New Roman" w:hAnsi="Times New Roman" w:cs="Times New Roman"/>
          <w:i/>
          <w:iCs/>
          <w:sz w:val="24"/>
          <w:szCs w:val="24"/>
        </w:rPr>
        <w:t>P</w:t>
      </w:r>
      <w:r w:rsidR="00B72F62" w:rsidRPr="000C2492">
        <w:rPr>
          <w:rFonts w:ascii="Times New Roman" w:hAnsi="Times New Roman" w:cs="Times New Roman"/>
          <w:i/>
          <w:iCs/>
          <w:sz w:val="24"/>
          <w:szCs w:val="24"/>
        </w:rPr>
        <w:t>rosecutor</w:t>
      </w:r>
      <w:r w:rsidR="001B78C2" w:rsidRPr="000C2492">
        <w:rPr>
          <w:rFonts w:ascii="Times New Roman" w:hAnsi="Times New Roman" w:cs="Times New Roman"/>
          <w:sz w:val="24"/>
          <w:szCs w:val="24"/>
        </w:rPr>
        <w:t xml:space="preserve">, the accused </w:t>
      </w:r>
      <w:r w:rsidR="00A11DD8">
        <w:rPr>
          <w:rFonts w:ascii="Times New Roman" w:hAnsi="Times New Roman" w:cs="Times New Roman"/>
          <w:sz w:val="24"/>
          <w:szCs w:val="24"/>
        </w:rPr>
        <w:t>likewise</w:t>
      </w:r>
      <w:r w:rsidR="007D36C0" w:rsidRPr="000C2492">
        <w:rPr>
          <w:rFonts w:ascii="Times New Roman" w:hAnsi="Times New Roman" w:cs="Times New Roman"/>
          <w:sz w:val="24"/>
          <w:szCs w:val="24"/>
        </w:rPr>
        <w:t xml:space="preserve"> </w:t>
      </w:r>
      <w:r w:rsidR="001B78C2" w:rsidRPr="000C2492">
        <w:rPr>
          <w:rFonts w:ascii="Times New Roman" w:hAnsi="Times New Roman" w:cs="Times New Roman"/>
          <w:sz w:val="24"/>
          <w:szCs w:val="24"/>
        </w:rPr>
        <w:t>decided to confess to all that he had done</w:t>
      </w:r>
      <w:r w:rsidR="00CB713A">
        <w:rPr>
          <w:rFonts w:ascii="Times New Roman" w:hAnsi="Times New Roman" w:cs="Times New Roman"/>
          <w:sz w:val="24"/>
          <w:szCs w:val="24"/>
        </w:rPr>
        <w:t>;</w:t>
      </w:r>
      <w:r w:rsidR="001B78C2" w:rsidRPr="000C2492">
        <w:rPr>
          <w:rFonts w:ascii="Times New Roman" w:hAnsi="Times New Roman" w:cs="Times New Roman"/>
          <w:sz w:val="24"/>
          <w:szCs w:val="24"/>
        </w:rPr>
        <w:t xml:space="preserve"> </w:t>
      </w:r>
      <w:r w:rsidR="00CB713A">
        <w:rPr>
          <w:rFonts w:ascii="Times New Roman" w:hAnsi="Times New Roman" w:cs="Times New Roman"/>
          <w:sz w:val="24"/>
          <w:szCs w:val="24"/>
        </w:rPr>
        <w:t>this</w:t>
      </w:r>
      <w:r w:rsidR="00CB713A" w:rsidRPr="000C2492">
        <w:rPr>
          <w:rFonts w:ascii="Times New Roman" w:hAnsi="Times New Roman" w:cs="Times New Roman"/>
          <w:sz w:val="24"/>
          <w:szCs w:val="24"/>
        </w:rPr>
        <w:t xml:space="preserve"> </w:t>
      </w:r>
      <w:r w:rsidR="001B78C2" w:rsidRPr="000C2492">
        <w:rPr>
          <w:rFonts w:ascii="Times New Roman" w:hAnsi="Times New Roman" w:cs="Times New Roman"/>
          <w:sz w:val="24"/>
          <w:szCs w:val="24"/>
        </w:rPr>
        <w:t xml:space="preserve">meant that rehabilitation </w:t>
      </w:r>
      <w:r w:rsidR="00D82DF9">
        <w:rPr>
          <w:rFonts w:ascii="Times New Roman" w:hAnsi="Times New Roman" w:cs="Times New Roman"/>
          <w:sz w:val="24"/>
          <w:szCs w:val="24"/>
        </w:rPr>
        <w:t xml:space="preserve">became </w:t>
      </w:r>
      <w:r w:rsidR="001B78C2" w:rsidRPr="000C2492">
        <w:rPr>
          <w:rFonts w:ascii="Times New Roman" w:hAnsi="Times New Roman" w:cs="Times New Roman"/>
          <w:sz w:val="24"/>
          <w:szCs w:val="24"/>
        </w:rPr>
        <w:t>the dominant sentencing consideration</w:t>
      </w:r>
      <w:r w:rsidR="00741022" w:rsidRPr="000C2492">
        <w:rPr>
          <w:rFonts w:ascii="Times New Roman" w:hAnsi="Times New Roman" w:cs="Times New Roman"/>
          <w:sz w:val="24"/>
          <w:szCs w:val="24"/>
        </w:rPr>
        <w:t>,</w:t>
      </w:r>
      <w:r w:rsidR="001B78C2" w:rsidRPr="000C2492">
        <w:rPr>
          <w:rFonts w:ascii="Times New Roman" w:hAnsi="Times New Roman" w:cs="Times New Roman"/>
          <w:sz w:val="24"/>
          <w:szCs w:val="24"/>
        </w:rPr>
        <w:t xml:space="preserve"> and probation was </w:t>
      </w:r>
      <w:r w:rsidR="003211FC" w:rsidRPr="000C2492">
        <w:rPr>
          <w:rFonts w:ascii="Times New Roman" w:hAnsi="Times New Roman" w:cs="Times New Roman"/>
          <w:sz w:val="24"/>
          <w:szCs w:val="24"/>
        </w:rPr>
        <w:t>granted</w:t>
      </w:r>
      <w:r w:rsidR="001B78C2" w:rsidRPr="000C2492">
        <w:rPr>
          <w:rFonts w:ascii="Times New Roman" w:hAnsi="Times New Roman" w:cs="Times New Roman"/>
          <w:sz w:val="24"/>
          <w:szCs w:val="24"/>
        </w:rPr>
        <w:t>.</w:t>
      </w:r>
      <w:r w:rsidR="001B78C2" w:rsidRPr="000C2492">
        <w:rPr>
          <w:rStyle w:val="FootnoteReference"/>
          <w:rFonts w:ascii="Times New Roman" w:hAnsi="Times New Roman" w:cs="Times New Roman"/>
          <w:sz w:val="24"/>
          <w:szCs w:val="24"/>
        </w:rPr>
        <w:footnoteReference w:id="38"/>
      </w:r>
      <w:r w:rsidR="001B78C2" w:rsidRPr="000C2492">
        <w:rPr>
          <w:rFonts w:ascii="Times New Roman" w:hAnsi="Times New Roman" w:cs="Times New Roman"/>
          <w:sz w:val="24"/>
          <w:szCs w:val="24"/>
        </w:rPr>
        <w:t xml:space="preserve"> </w:t>
      </w:r>
    </w:p>
    <w:p w14:paraId="5F770472" w14:textId="77777777" w:rsidR="001B78C2" w:rsidRPr="000C2492" w:rsidRDefault="001B78C2" w:rsidP="000C2492">
      <w:pPr>
        <w:jc w:val="both"/>
        <w:rPr>
          <w:rFonts w:ascii="Times New Roman" w:hAnsi="Times New Roman" w:cs="Times New Roman"/>
          <w:sz w:val="24"/>
          <w:szCs w:val="24"/>
        </w:rPr>
      </w:pPr>
    </w:p>
    <w:p w14:paraId="43DA79F4" w14:textId="7FBAD311" w:rsidR="00E17EC8" w:rsidRPr="000C2492" w:rsidRDefault="00E17EC8" w:rsidP="000C2492">
      <w:pPr>
        <w:jc w:val="both"/>
        <w:rPr>
          <w:rFonts w:ascii="Times New Roman" w:hAnsi="Times New Roman" w:cs="Times New Roman"/>
          <w:sz w:val="24"/>
          <w:szCs w:val="24"/>
        </w:rPr>
      </w:pPr>
      <w:r w:rsidRPr="000C2492">
        <w:rPr>
          <w:rFonts w:ascii="Times New Roman" w:hAnsi="Times New Roman" w:cs="Times New Roman"/>
          <w:sz w:val="24"/>
          <w:szCs w:val="24"/>
        </w:rPr>
        <w:t xml:space="preserve">In view of the </w:t>
      </w:r>
      <w:r w:rsidR="00132903" w:rsidRPr="000C2492">
        <w:rPr>
          <w:rFonts w:ascii="Times New Roman" w:hAnsi="Times New Roman" w:cs="Times New Roman"/>
          <w:sz w:val="24"/>
          <w:szCs w:val="24"/>
        </w:rPr>
        <w:t xml:space="preserve">multifaceted </w:t>
      </w:r>
      <w:r w:rsidRPr="000C2492">
        <w:rPr>
          <w:rFonts w:ascii="Times New Roman" w:hAnsi="Times New Roman" w:cs="Times New Roman"/>
          <w:sz w:val="24"/>
          <w:szCs w:val="24"/>
        </w:rPr>
        <w:t xml:space="preserve">importance of statements as evidence, we now turn to examine the admissibility of the statements made during police investigations and consider the situations </w:t>
      </w:r>
      <w:r w:rsidR="0061047E">
        <w:rPr>
          <w:rFonts w:ascii="Times New Roman" w:hAnsi="Times New Roman" w:cs="Times New Roman"/>
          <w:sz w:val="24"/>
          <w:szCs w:val="24"/>
        </w:rPr>
        <w:t>under which</w:t>
      </w:r>
      <w:r w:rsidRPr="000C2492">
        <w:rPr>
          <w:rFonts w:ascii="Times New Roman" w:hAnsi="Times New Roman" w:cs="Times New Roman"/>
          <w:sz w:val="24"/>
          <w:szCs w:val="24"/>
        </w:rPr>
        <w:t xml:space="preserve"> the weight accorded to them might be diminished.</w:t>
      </w:r>
      <w:r w:rsidR="00F63843">
        <w:rPr>
          <w:rFonts w:ascii="Times New Roman" w:hAnsi="Times New Roman" w:cs="Times New Roman"/>
          <w:sz w:val="24"/>
          <w:szCs w:val="24"/>
        </w:rPr>
        <w:t xml:space="preserve"> This would </w:t>
      </w:r>
      <w:r w:rsidR="00606E74">
        <w:rPr>
          <w:rFonts w:ascii="Times New Roman" w:hAnsi="Times New Roman" w:cs="Times New Roman"/>
          <w:sz w:val="24"/>
          <w:szCs w:val="24"/>
        </w:rPr>
        <w:t xml:space="preserve">demystify how courts treat such statements and </w:t>
      </w:r>
      <w:r w:rsidR="000A221A">
        <w:rPr>
          <w:rFonts w:ascii="Times New Roman" w:hAnsi="Times New Roman" w:cs="Times New Roman"/>
          <w:sz w:val="24"/>
          <w:szCs w:val="24"/>
        </w:rPr>
        <w:t xml:space="preserve">address the issue of </w:t>
      </w:r>
      <w:r w:rsidR="00F63843">
        <w:rPr>
          <w:rFonts w:ascii="Times New Roman" w:hAnsi="Times New Roman" w:cs="Times New Roman"/>
          <w:sz w:val="24"/>
          <w:szCs w:val="24"/>
        </w:rPr>
        <w:t xml:space="preserve">whether there </w:t>
      </w:r>
      <w:r w:rsidR="00DF1D90">
        <w:rPr>
          <w:rFonts w:ascii="Times New Roman" w:hAnsi="Times New Roman" w:cs="Times New Roman"/>
          <w:sz w:val="24"/>
          <w:szCs w:val="24"/>
        </w:rPr>
        <w:t xml:space="preserve">exist </w:t>
      </w:r>
      <w:r w:rsidR="00F63843">
        <w:rPr>
          <w:rFonts w:ascii="Times New Roman" w:hAnsi="Times New Roman" w:cs="Times New Roman"/>
          <w:sz w:val="24"/>
          <w:szCs w:val="24"/>
        </w:rPr>
        <w:t>sufficient safeguards against unreliable statements</w:t>
      </w:r>
      <w:r w:rsidR="00CE1690">
        <w:rPr>
          <w:rFonts w:ascii="Times New Roman" w:hAnsi="Times New Roman" w:cs="Times New Roman"/>
          <w:sz w:val="24"/>
          <w:szCs w:val="24"/>
        </w:rPr>
        <w:t xml:space="preserve"> that might be made</w:t>
      </w:r>
      <w:r w:rsidR="008F64EF">
        <w:rPr>
          <w:rFonts w:ascii="Times New Roman" w:hAnsi="Times New Roman" w:cs="Times New Roman"/>
          <w:sz w:val="24"/>
          <w:szCs w:val="24"/>
        </w:rPr>
        <w:t xml:space="preserve"> </w:t>
      </w:r>
      <w:r w:rsidR="00675F13">
        <w:rPr>
          <w:rFonts w:ascii="Times New Roman" w:hAnsi="Times New Roman" w:cs="Times New Roman"/>
          <w:sz w:val="24"/>
          <w:szCs w:val="24"/>
        </w:rPr>
        <w:t>during</w:t>
      </w:r>
      <w:r w:rsidR="008F64EF">
        <w:rPr>
          <w:rFonts w:ascii="Times New Roman" w:hAnsi="Times New Roman" w:cs="Times New Roman"/>
          <w:sz w:val="24"/>
          <w:szCs w:val="24"/>
        </w:rPr>
        <w:t xml:space="preserve"> investigations</w:t>
      </w:r>
      <w:r w:rsidR="00F63843">
        <w:rPr>
          <w:rFonts w:ascii="Times New Roman" w:hAnsi="Times New Roman" w:cs="Times New Roman"/>
          <w:sz w:val="24"/>
          <w:szCs w:val="24"/>
        </w:rPr>
        <w:t>.</w:t>
      </w:r>
      <w:r w:rsidR="00F567E4">
        <w:rPr>
          <w:rFonts w:ascii="Times New Roman" w:hAnsi="Times New Roman" w:cs="Times New Roman"/>
          <w:sz w:val="24"/>
          <w:szCs w:val="24"/>
        </w:rPr>
        <w:t xml:space="preserve"> </w:t>
      </w:r>
    </w:p>
    <w:p w14:paraId="78BA8DCA" w14:textId="77777777" w:rsidR="007218FC" w:rsidRPr="000C2492" w:rsidRDefault="007218FC" w:rsidP="000C2492">
      <w:pPr>
        <w:jc w:val="both"/>
        <w:rPr>
          <w:rFonts w:ascii="Times New Roman" w:hAnsi="Times New Roman" w:cs="Times New Roman"/>
          <w:sz w:val="24"/>
          <w:szCs w:val="24"/>
        </w:rPr>
      </w:pPr>
    </w:p>
    <w:p w14:paraId="2BEEB4DF" w14:textId="77777777" w:rsidR="00E17EC8" w:rsidRPr="000C2492" w:rsidRDefault="00E17EC8" w:rsidP="000C2492">
      <w:pPr>
        <w:pStyle w:val="Heading2"/>
        <w:numPr>
          <w:ilvl w:val="0"/>
          <w:numId w:val="33"/>
        </w:numPr>
        <w:jc w:val="both"/>
        <w:rPr>
          <w:sz w:val="24"/>
          <w:szCs w:val="24"/>
        </w:rPr>
      </w:pPr>
      <w:r w:rsidRPr="000C2492">
        <w:rPr>
          <w:sz w:val="24"/>
          <w:szCs w:val="24"/>
        </w:rPr>
        <w:t>Admissibility</w:t>
      </w:r>
    </w:p>
    <w:p w14:paraId="632ACDDD" w14:textId="06EAF892" w:rsidR="009E1F2C" w:rsidRDefault="00E17EC8" w:rsidP="000C2492">
      <w:pPr>
        <w:jc w:val="both"/>
        <w:rPr>
          <w:rFonts w:ascii="Times New Roman" w:hAnsi="Times New Roman" w:cs="Times New Roman"/>
          <w:sz w:val="24"/>
          <w:szCs w:val="24"/>
        </w:rPr>
      </w:pPr>
      <w:r w:rsidRPr="000C2492">
        <w:rPr>
          <w:rFonts w:ascii="Times New Roman" w:hAnsi="Times New Roman" w:cs="Times New Roman"/>
          <w:sz w:val="24"/>
          <w:szCs w:val="24"/>
        </w:rPr>
        <w:t xml:space="preserve">The admissibility of statements in the criminal context is primarily governed by the </w:t>
      </w:r>
      <w:r w:rsidR="00526886" w:rsidRPr="000C2492">
        <w:rPr>
          <w:rFonts w:ascii="Times New Roman" w:hAnsi="Times New Roman" w:cs="Times New Roman"/>
          <w:sz w:val="24"/>
          <w:szCs w:val="24"/>
        </w:rPr>
        <w:t>CPC</w:t>
      </w:r>
      <w:r w:rsidRPr="000C2492">
        <w:rPr>
          <w:rFonts w:ascii="Times New Roman" w:hAnsi="Times New Roman" w:cs="Times New Roman"/>
          <w:sz w:val="24"/>
          <w:szCs w:val="24"/>
        </w:rPr>
        <w:t>.</w:t>
      </w:r>
      <w:r w:rsidRPr="000C2492">
        <w:rPr>
          <w:rFonts w:ascii="Times New Roman" w:hAnsi="Times New Roman" w:cs="Times New Roman"/>
          <w:sz w:val="24"/>
          <w:szCs w:val="24"/>
          <w:vertAlign w:val="superscript"/>
        </w:rPr>
        <w:footnoteReference w:id="39"/>
      </w:r>
      <w:r w:rsidR="00C858B8">
        <w:rPr>
          <w:rFonts w:ascii="Times New Roman" w:hAnsi="Times New Roman" w:cs="Times New Roman"/>
          <w:sz w:val="24"/>
          <w:szCs w:val="24"/>
        </w:rPr>
        <w:t xml:space="preserve"> </w:t>
      </w:r>
      <w:r w:rsidR="00D12E05">
        <w:rPr>
          <w:rFonts w:ascii="Times New Roman" w:hAnsi="Times New Roman" w:cs="Times New Roman"/>
          <w:sz w:val="24"/>
          <w:szCs w:val="24"/>
        </w:rPr>
        <w:t>In this regard, s</w:t>
      </w:r>
      <w:r w:rsidR="00C858B8">
        <w:rPr>
          <w:rFonts w:ascii="Times New Roman" w:hAnsi="Times New Roman" w:cs="Times New Roman"/>
          <w:sz w:val="24"/>
          <w:szCs w:val="24"/>
        </w:rPr>
        <w:t>tatements (whether under section</w:t>
      </w:r>
      <w:r w:rsidR="00495800">
        <w:rPr>
          <w:rFonts w:ascii="Times New Roman" w:hAnsi="Times New Roman" w:cs="Times New Roman"/>
          <w:sz w:val="24"/>
          <w:szCs w:val="24"/>
        </w:rPr>
        <w:t>s</w:t>
      </w:r>
      <w:r w:rsidR="00C858B8">
        <w:rPr>
          <w:rFonts w:ascii="Times New Roman" w:hAnsi="Times New Roman" w:cs="Times New Roman"/>
          <w:sz w:val="24"/>
          <w:szCs w:val="24"/>
        </w:rPr>
        <w:t xml:space="preserve"> 22 </w:t>
      </w:r>
      <w:r w:rsidR="00DA645D">
        <w:rPr>
          <w:rFonts w:ascii="Times New Roman" w:hAnsi="Times New Roman" w:cs="Times New Roman"/>
          <w:sz w:val="24"/>
          <w:szCs w:val="24"/>
        </w:rPr>
        <w:t xml:space="preserve">or </w:t>
      </w:r>
      <w:r w:rsidR="00C858B8">
        <w:rPr>
          <w:rFonts w:ascii="Times New Roman" w:hAnsi="Times New Roman" w:cs="Times New Roman"/>
          <w:sz w:val="24"/>
          <w:szCs w:val="24"/>
        </w:rPr>
        <w:t xml:space="preserve">23) are generally treated alike. The main distinction for admissibility is whether the statement </w:t>
      </w:r>
      <w:r w:rsidR="00983839">
        <w:rPr>
          <w:rFonts w:ascii="Times New Roman" w:hAnsi="Times New Roman" w:cs="Times New Roman"/>
          <w:sz w:val="24"/>
          <w:szCs w:val="24"/>
        </w:rPr>
        <w:t xml:space="preserve">was made by </w:t>
      </w:r>
      <w:r w:rsidR="00C858B8">
        <w:rPr>
          <w:rFonts w:ascii="Times New Roman" w:hAnsi="Times New Roman" w:cs="Times New Roman"/>
          <w:sz w:val="24"/>
          <w:szCs w:val="24"/>
        </w:rPr>
        <w:t xml:space="preserve">the accused or </w:t>
      </w:r>
      <w:r w:rsidR="00983839">
        <w:rPr>
          <w:rFonts w:ascii="Times New Roman" w:hAnsi="Times New Roman" w:cs="Times New Roman"/>
          <w:sz w:val="24"/>
          <w:szCs w:val="24"/>
        </w:rPr>
        <w:t xml:space="preserve">a </w:t>
      </w:r>
      <w:r w:rsidR="00523942">
        <w:rPr>
          <w:rFonts w:ascii="Times New Roman" w:hAnsi="Times New Roman" w:cs="Times New Roman"/>
          <w:sz w:val="24"/>
          <w:szCs w:val="24"/>
        </w:rPr>
        <w:t>witness.</w:t>
      </w:r>
    </w:p>
    <w:p w14:paraId="38B09178" w14:textId="68C96A27" w:rsidR="009E1F2C" w:rsidRDefault="009E1F2C" w:rsidP="000C2492">
      <w:pPr>
        <w:jc w:val="both"/>
        <w:rPr>
          <w:rFonts w:ascii="Times New Roman" w:hAnsi="Times New Roman" w:cs="Times New Roman"/>
          <w:sz w:val="24"/>
          <w:szCs w:val="24"/>
        </w:rPr>
      </w:pPr>
    </w:p>
    <w:p w14:paraId="11FA57E7" w14:textId="62D512D4" w:rsidR="009E1F2C" w:rsidRPr="004C27FA" w:rsidRDefault="00C858B8" w:rsidP="004C27FA">
      <w:pPr>
        <w:pStyle w:val="Heading3"/>
        <w:rPr>
          <w:sz w:val="24"/>
        </w:rPr>
      </w:pPr>
      <w:r w:rsidRPr="005F26F1">
        <w:rPr>
          <w:sz w:val="24"/>
          <w:szCs w:val="24"/>
        </w:rPr>
        <w:lastRenderedPageBreak/>
        <w:t>Statements made by the accused, whether under Section 22 or</w:t>
      </w:r>
      <w:r w:rsidRPr="004C27FA">
        <w:rPr>
          <w:sz w:val="24"/>
        </w:rPr>
        <w:t xml:space="preserve"> </w:t>
      </w:r>
      <w:r w:rsidR="009E1F2C" w:rsidRPr="004C27FA">
        <w:rPr>
          <w:sz w:val="24"/>
        </w:rPr>
        <w:t>Section 23</w:t>
      </w:r>
      <w:r w:rsidRPr="005F26F1">
        <w:rPr>
          <w:sz w:val="24"/>
          <w:szCs w:val="24"/>
        </w:rPr>
        <w:t>.</w:t>
      </w:r>
    </w:p>
    <w:p w14:paraId="5E2447B6" w14:textId="3115AB38" w:rsidR="00E17EC8" w:rsidRPr="000C2492" w:rsidRDefault="007E00FE" w:rsidP="000C2492">
      <w:pPr>
        <w:jc w:val="both"/>
        <w:rPr>
          <w:rFonts w:ascii="Times New Roman" w:hAnsi="Times New Roman" w:cs="Times New Roman"/>
          <w:sz w:val="24"/>
          <w:szCs w:val="24"/>
        </w:rPr>
      </w:pPr>
      <w:r>
        <w:rPr>
          <w:rFonts w:ascii="Times New Roman" w:hAnsi="Times New Roman" w:cs="Times New Roman"/>
          <w:sz w:val="24"/>
          <w:szCs w:val="24"/>
        </w:rPr>
        <w:t>The CPC</w:t>
      </w:r>
      <w:r w:rsidR="00E17EC8" w:rsidRPr="000C2492">
        <w:rPr>
          <w:rFonts w:ascii="Times New Roman" w:hAnsi="Times New Roman" w:cs="Times New Roman"/>
          <w:sz w:val="24"/>
          <w:szCs w:val="24"/>
        </w:rPr>
        <w:t xml:space="preserve"> provides that statements by the accused are </w:t>
      </w:r>
      <w:r w:rsidR="00C41EB3" w:rsidRPr="000C2492">
        <w:rPr>
          <w:rFonts w:ascii="Times New Roman" w:hAnsi="Times New Roman" w:cs="Times New Roman"/>
          <w:sz w:val="24"/>
          <w:szCs w:val="24"/>
        </w:rPr>
        <w:t xml:space="preserve">typically </w:t>
      </w:r>
      <w:r w:rsidR="00E17EC8" w:rsidRPr="000C2492">
        <w:rPr>
          <w:rFonts w:ascii="Times New Roman" w:hAnsi="Times New Roman" w:cs="Times New Roman"/>
          <w:sz w:val="24"/>
          <w:szCs w:val="24"/>
        </w:rPr>
        <w:t>admissible as evidence at his/her trial</w:t>
      </w:r>
      <w:r w:rsidR="00AF6AE0" w:rsidRPr="000C2492">
        <w:rPr>
          <w:rFonts w:ascii="Times New Roman" w:hAnsi="Times New Roman" w:cs="Times New Roman"/>
          <w:sz w:val="24"/>
          <w:szCs w:val="24"/>
        </w:rPr>
        <w:t>.</w:t>
      </w:r>
      <w:r w:rsidR="00E17EC8" w:rsidRPr="000C2492">
        <w:rPr>
          <w:rFonts w:ascii="Times New Roman" w:hAnsi="Times New Roman" w:cs="Times New Roman"/>
          <w:sz w:val="24"/>
          <w:szCs w:val="24"/>
          <w:vertAlign w:val="superscript"/>
        </w:rPr>
        <w:footnoteReference w:id="40"/>
      </w:r>
      <w:r w:rsidR="00E17EC8" w:rsidRPr="000C2492">
        <w:rPr>
          <w:rFonts w:ascii="Times New Roman" w:hAnsi="Times New Roman" w:cs="Times New Roman"/>
          <w:sz w:val="24"/>
          <w:szCs w:val="24"/>
        </w:rPr>
        <w:t xml:space="preserve"> However, </w:t>
      </w:r>
      <w:r w:rsidR="00226C9B">
        <w:rPr>
          <w:rFonts w:ascii="Times New Roman" w:hAnsi="Times New Roman" w:cs="Times New Roman"/>
          <w:sz w:val="24"/>
          <w:szCs w:val="24"/>
        </w:rPr>
        <w:t>admissibility</w:t>
      </w:r>
      <w:r w:rsidR="00E17EC8" w:rsidRPr="000C2492">
        <w:rPr>
          <w:rFonts w:ascii="Times New Roman" w:hAnsi="Times New Roman" w:cs="Times New Roman"/>
          <w:sz w:val="24"/>
          <w:szCs w:val="24"/>
        </w:rPr>
        <w:t xml:space="preserve"> may be challenged on </w:t>
      </w:r>
      <w:r w:rsidR="00C41EB3" w:rsidRPr="00E01EEE">
        <w:rPr>
          <w:rFonts w:ascii="Times New Roman" w:hAnsi="Times New Roman" w:cs="Times New Roman"/>
          <w:i/>
          <w:iCs/>
          <w:sz w:val="24"/>
          <w:szCs w:val="24"/>
        </w:rPr>
        <w:t>substantive</w:t>
      </w:r>
      <w:r w:rsidR="00C41EB3" w:rsidRPr="000C2492">
        <w:rPr>
          <w:rFonts w:ascii="Times New Roman" w:hAnsi="Times New Roman" w:cs="Times New Roman"/>
          <w:sz w:val="24"/>
          <w:szCs w:val="24"/>
        </w:rPr>
        <w:t xml:space="preserve"> </w:t>
      </w:r>
      <w:r w:rsidR="005015EA">
        <w:rPr>
          <w:rFonts w:ascii="Times New Roman" w:hAnsi="Times New Roman" w:cs="Times New Roman"/>
          <w:sz w:val="24"/>
          <w:szCs w:val="24"/>
        </w:rPr>
        <w:t>or</w:t>
      </w:r>
      <w:r w:rsidR="005015EA" w:rsidRPr="000C2492">
        <w:rPr>
          <w:rFonts w:ascii="Times New Roman" w:hAnsi="Times New Roman" w:cs="Times New Roman"/>
          <w:sz w:val="24"/>
          <w:szCs w:val="24"/>
        </w:rPr>
        <w:t xml:space="preserve"> </w:t>
      </w:r>
      <w:r w:rsidR="00E17EC8" w:rsidRPr="00E01EEE">
        <w:rPr>
          <w:rFonts w:ascii="Times New Roman" w:hAnsi="Times New Roman" w:cs="Times New Roman"/>
          <w:i/>
          <w:iCs/>
          <w:sz w:val="24"/>
          <w:szCs w:val="24"/>
        </w:rPr>
        <w:t>procedural</w:t>
      </w:r>
      <w:r w:rsidR="00E17EC8" w:rsidRPr="000C2492">
        <w:rPr>
          <w:rFonts w:ascii="Times New Roman" w:hAnsi="Times New Roman" w:cs="Times New Roman"/>
          <w:sz w:val="24"/>
          <w:szCs w:val="24"/>
        </w:rPr>
        <w:t xml:space="preserve"> grounds.</w:t>
      </w:r>
      <w:r w:rsidR="00E17EC8" w:rsidRPr="000C2492">
        <w:rPr>
          <w:rFonts w:ascii="Times New Roman" w:hAnsi="Times New Roman" w:cs="Times New Roman"/>
          <w:sz w:val="24"/>
          <w:szCs w:val="24"/>
          <w:vertAlign w:val="superscript"/>
        </w:rPr>
        <w:footnoteReference w:id="41"/>
      </w:r>
      <w:r w:rsidR="00E17EC8" w:rsidRPr="000C2492">
        <w:rPr>
          <w:rFonts w:ascii="Times New Roman" w:hAnsi="Times New Roman" w:cs="Times New Roman"/>
          <w:sz w:val="24"/>
          <w:szCs w:val="24"/>
        </w:rPr>
        <w:t xml:space="preserve"> </w:t>
      </w:r>
    </w:p>
    <w:p w14:paraId="74558D93" w14:textId="77777777" w:rsidR="00836C8C" w:rsidRPr="000C2492" w:rsidRDefault="00836C8C" w:rsidP="000C2492">
      <w:pPr>
        <w:jc w:val="both"/>
        <w:rPr>
          <w:rFonts w:ascii="Times New Roman" w:hAnsi="Times New Roman" w:cs="Times New Roman"/>
          <w:sz w:val="24"/>
          <w:szCs w:val="24"/>
        </w:rPr>
      </w:pPr>
    </w:p>
    <w:p w14:paraId="3A0E802E" w14:textId="75855666" w:rsidR="00B774D3" w:rsidRPr="000C2492" w:rsidRDefault="00AA30F4" w:rsidP="000C2492">
      <w:pPr>
        <w:jc w:val="both"/>
        <w:rPr>
          <w:rFonts w:ascii="Times New Roman" w:hAnsi="Times New Roman" w:cs="Times New Roman"/>
          <w:sz w:val="24"/>
          <w:szCs w:val="24"/>
        </w:rPr>
      </w:pPr>
      <w:r w:rsidRPr="000C2492">
        <w:rPr>
          <w:rFonts w:ascii="Times New Roman" w:hAnsi="Times New Roman" w:cs="Times New Roman"/>
          <w:sz w:val="24"/>
          <w:szCs w:val="24"/>
        </w:rPr>
        <w:t xml:space="preserve">For a challenge on substantive grounds, </w:t>
      </w:r>
      <w:r w:rsidR="006A751B">
        <w:rPr>
          <w:rFonts w:ascii="Times New Roman" w:hAnsi="Times New Roman" w:cs="Times New Roman"/>
          <w:sz w:val="24"/>
          <w:szCs w:val="24"/>
        </w:rPr>
        <w:t>an</w:t>
      </w:r>
      <w:r w:rsidR="006A751B" w:rsidRPr="000C2492">
        <w:rPr>
          <w:rFonts w:ascii="Times New Roman" w:hAnsi="Times New Roman" w:cs="Times New Roman"/>
          <w:sz w:val="24"/>
          <w:szCs w:val="24"/>
        </w:rPr>
        <w:t xml:space="preserve"> </w:t>
      </w:r>
      <w:r w:rsidRPr="000C2492">
        <w:rPr>
          <w:rFonts w:ascii="Times New Roman" w:hAnsi="Times New Roman" w:cs="Times New Roman"/>
          <w:sz w:val="24"/>
          <w:szCs w:val="24"/>
        </w:rPr>
        <w:t>accused can challenge the voluntariness of the statement</w:t>
      </w:r>
      <w:r w:rsidR="00B4712B">
        <w:rPr>
          <w:rStyle w:val="FootnoteReference"/>
          <w:rFonts w:ascii="Times New Roman" w:hAnsi="Times New Roman" w:cs="Times New Roman"/>
          <w:sz w:val="24"/>
          <w:szCs w:val="24"/>
        </w:rPr>
        <w:footnoteReference w:id="42"/>
      </w:r>
      <w:r w:rsidR="00B4712B">
        <w:rPr>
          <w:rFonts w:ascii="Times New Roman" w:hAnsi="Times New Roman" w:cs="Times New Roman"/>
          <w:sz w:val="24"/>
          <w:szCs w:val="24"/>
        </w:rPr>
        <w:t xml:space="preserve"> </w:t>
      </w:r>
      <w:r w:rsidR="00A45E89">
        <w:rPr>
          <w:rFonts w:ascii="Times New Roman" w:hAnsi="Times New Roman" w:cs="Times New Roman"/>
          <w:sz w:val="24"/>
          <w:szCs w:val="24"/>
        </w:rPr>
        <w:t>(</w:t>
      </w:r>
      <w:r w:rsidRPr="000C2492">
        <w:rPr>
          <w:rFonts w:ascii="Times New Roman" w:hAnsi="Times New Roman" w:cs="Times New Roman"/>
          <w:sz w:val="24"/>
          <w:szCs w:val="24"/>
        </w:rPr>
        <w:t>also known as the “</w:t>
      </w:r>
      <w:r w:rsidRPr="00232D13">
        <w:rPr>
          <w:rFonts w:ascii="Times New Roman" w:hAnsi="Times New Roman" w:cs="Times New Roman"/>
          <w:b/>
          <w:bCs/>
          <w:sz w:val="24"/>
          <w:szCs w:val="24"/>
        </w:rPr>
        <w:t>voluntariness test</w:t>
      </w:r>
      <w:r w:rsidRPr="000C2492">
        <w:rPr>
          <w:rFonts w:ascii="Times New Roman" w:hAnsi="Times New Roman" w:cs="Times New Roman"/>
          <w:sz w:val="24"/>
          <w:szCs w:val="24"/>
        </w:rPr>
        <w:t>”</w:t>
      </w:r>
      <w:r w:rsidR="00A45E89">
        <w:rPr>
          <w:rFonts w:ascii="Times New Roman" w:hAnsi="Times New Roman" w:cs="Times New Roman"/>
          <w:sz w:val="24"/>
          <w:szCs w:val="24"/>
        </w:rPr>
        <w:t>)</w:t>
      </w:r>
      <w:r w:rsidRPr="000C2492">
        <w:rPr>
          <w:rFonts w:ascii="Times New Roman" w:hAnsi="Times New Roman" w:cs="Times New Roman"/>
          <w:sz w:val="24"/>
          <w:szCs w:val="24"/>
        </w:rPr>
        <w:t>.</w:t>
      </w:r>
      <w:r w:rsidR="00CC5C89">
        <w:rPr>
          <w:rStyle w:val="FootnoteReference"/>
          <w:rFonts w:ascii="Times New Roman" w:hAnsi="Times New Roman" w:cs="Times New Roman"/>
          <w:sz w:val="24"/>
          <w:szCs w:val="24"/>
        </w:rPr>
        <w:footnoteReference w:id="43"/>
      </w:r>
      <w:r w:rsidRPr="000C2492">
        <w:rPr>
          <w:rFonts w:ascii="Times New Roman" w:hAnsi="Times New Roman" w:cs="Times New Roman"/>
          <w:sz w:val="24"/>
          <w:szCs w:val="24"/>
        </w:rPr>
        <w:t xml:space="preserve"> </w:t>
      </w:r>
      <w:r w:rsidR="00C13AC8">
        <w:rPr>
          <w:rFonts w:ascii="Times New Roman" w:hAnsi="Times New Roman" w:cs="Times New Roman"/>
          <w:sz w:val="24"/>
          <w:szCs w:val="24"/>
        </w:rPr>
        <w:t>T</w:t>
      </w:r>
      <w:r w:rsidRPr="000C2492">
        <w:rPr>
          <w:rFonts w:ascii="Times New Roman" w:hAnsi="Times New Roman" w:cs="Times New Roman"/>
          <w:sz w:val="24"/>
          <w:szCs w:val="24"/>
        </w:rPr>
        <w:t xml:space="preserve">his is to enhance </w:t>
      </w:r>
      <w:r w:rsidR="0064415D">
        <w:rPr>
          <w:rFonts w:ascii="Times New Roman" w:hAnsi="Times New Roman" w:cs="Times New Roman"/>
          <w:sz w:val="24"/>
          <w:szCs w:val="24"/>
        </w:rPr>
        <w:t xml:space="preserve">the </w:t>
      </w:r>
      <w:r w:rsidRPr="000C2492">
        <w:rPr>
          <w:rFonts w:ascii="Times New Roman" w:hAnsi="Times New Roman" w:cs="Times New Roman"/>
          <w:sz w:val="24"/>
          <w:szCs w:val="24"/>
        </w:rPr>
        <w:t>reliability</w:t>
      </w:r>
      <w:r w:rsidR="0064415D">
        <w:rPr>
          <w:rFonts w:ascii="Times New Roman" w:hAnsi="Times New Roman" w:cs="Times New Roman"/>
          <w:sz w:val="24"/>
          <w:szCs w:val="24"/>
        </w:rPr>
        <w:t xml:space="preserve"> of statements</w:t>
      </w:r>
      <w:r w:rsidR="00B3017F">
        <w:rPr>
          <w:rFonts w:ascii="Times New Roman" w:hAnsi="Times New Roman" w:cs="Times New Roman"/>
          <w:sz w:val="24"/>
          <w:szCs w:val="24"/>
        </w:rPr>
        <w:t>,</w:t>
      </w:r>
      <w:r w:rsidRPr="000C2492">
        <w:rPr>
          <w:rFonts w:ascii="Times New Roman" w:hAnsi="Times New Roman" w:cs="Times New Roman"/>
          <w:sz w:val="24"/>
          <w:szCs w:val="24"/>
        </w:rPr>
        <w:t xml:space="preserve"> by preventing false confessions</w:t>
      </w:r>
      <w:r w:rsidR="00E71903">
        <w:rPr>
          <w:rFonts w:ascii="Times New Roman" w:hAnsi="Times New Roman" w:cs="Times New Roman"/>
          <w:sz w:val="24"/>
          <w:szCs w:val="24"/>
        </w:rPr>
        <w:t>.</w:t>
      </w:r>
      <w:r w:rsidRPr="000C2492">
        <w:rPr>
          <w:rFonts w:ascii="Times New Roman" w:hAnsi="Times New Roman" w:cs="Times New Roman"/>
          <w:sz w:val="24"/>
          <w:szCs w:val="24"/>
        </w:rPr>
        <w:t xml:space="preserve"> </w:t>
      </w:r>
      <w:r w:rsidR="00E71903">
        <w:rPr>
          <w:rFonts w:ascii="Times New Roman" w:hAnsi="Times New Roman" w:cs="Times New Roman"/>
          <w:sz w:val="24"/>
          <w:szCs w:val="24"/>
        </w:rPr>
        <w:t xml:space="preserve">This also </w:t>
      </w:r>
      <w:r w:rsidRPr="000C2492">
        <w:rPr>
          <w:rFonts w:ascii="Times New Roman" w:hAnsi="Times New Roman" w:cs="Times New Roman"/>
          <w:sz w:val="24"/>
          <w:szCs w:val="24"/>
        </w:rPr>
        <w:t>discourage</w:t>
      </w:r>
      <w:r w:rsidR="00A526FC">
        <w:rPr>
          <w:rFonts w:ascii="Times New Roman" w:hAnsi="Times New Roman" w:cs="Times New Roman"/>
          <w:sz w:val="24"/>
          <w:szCs w:val="24"/>
        </w:rPr>
        <w:t>s</w:t>
      </w:r>
      <w:r w:rsidRPr="000C2492">
        <w:rPr>
          <w:rFonts w:ascii="Times New Roman" w:hAnsi="Times New Roman" w:cs="Times New Roman"/>
          <w:sz w:val="24"/>
          <w:szCs w:val="24"/>
        </w:rPr>
        <w:t xml:space="preserve"> misconduct or other improprieties by </w:t>
      </w:r>
      <w:r w:rsidR="00CA24A9">
        <w:rPr>
          <w:rFonts w:ascii="Times New Roman" w:hAnsi="Times New Roman" w:cs="Times New Roman"/>
          <w:sz w:val="24"/>
          <w:szCs w:val="24"/>
        </w:rPr>
        <w:t>investigating</w:t>
      </w:r>
      <w:r w:rsidR="00CA24A9" w:rsidRPr="000C2492">
        <w:rPr>
          <w:rFonts w:ascii="Times New Roman" w:hAnsi="Times New Roman" w:cs="Times New Roman"/>
          <w:sz w:val="24"/>
          <w:szCs w:val="24"/>
        </w:rPr>
        <w:t xml:space="preserve"> </w:t>
      </w:r>
      <w:r w:rsidRPr="000C2492">
        <w:rPr>
          <w:rFonts w:ascii="Times New Roman" w:hAnsi="Times New Roman" w:cs="Times New Roman"/>
          <w:sz w:val="24"/>
          <w:szCs w:val="24"/>
        </w:rPr>
        <w:t>officers</w:t>
      </w:r>
      <w:r w:rsidR="00B774D3" w:rsidRPr="000C2492">
        <w:rPr>
          <w:rFonts w:ascii="Times New Roman" w:hAnsi="Times New Roman" w:cs="Times New Roman"/>
          <w:sz w:val="24"/>
          <w:szCs w:val="24"/>
        </w:rPr>
        <w:t xml:space="preserve">, </w:t>
      </w:r>
      <w:r w:rsidR="00A65AA2">
        <w:rPr>
          <w:rFonts w:ascii="Times New Roman" w:hAnsi="Times New Roman" w:cs="Times New Roman"/>
          <w:sz w:val="24"/>
          <w:szCs w:val="24"/>
        </w:rPr>
        <w:t xml:space="preserve">which </w:t>
      </w:r>
      <w:r w:rsidR="001A2737">
        <w:rPr>
          <w:rFonts w:ascii="Times New Roman" w:hAnsi="Times New Roman" w:cs="Times New Roman"/>
          <w:sz w:val="24"/>
          <w:szCs w:val="24"/>
        </w:rPr>
        <w:t>would</w:t>
      </w:r>
      <w:r w:rsidR="001A2737" w:rsidRPr="000C2492">
        <w:rPr>
          <w:rFonts w:ascii="Times New Roman" w:hAnsi="Times New Roman" w:cs="Times New Roman"/>
          <w:sz w:val="24"/>
          <w:szCs w:val="24"/>
        </w:rPr>
        <w:t xml:space="preserve"> </w:t>
      </w:r>
      <w:r w:rsidR="00B774D3" w:rsidRPr="000C2492">
        <w:rPr>
          <w:rFonts w:ascii="Times New Roman" w:hAnsi="Times New Roman" w:cs="Times New Roman"/>
          <w:sz w:val="24"/>
          <w:szCs w:val="24"/>
        </w:rPr>
        <w:t>amount to abuse of power and undermine the rule of law and the integrity of the judicial process.</w:t>
      </w:r>
      <w:r w:rsidRPr="000C2492">
        <w:rPr>
          <w:rFonts w:ascii="Times New Roman" w:hAnsi="Times New Roman" w:cs="Times New Roman"/>
          <w:sz w:val="24"/>
          <w:szCs w:val="24"/>
          <w:vertAlign w:val="superscript"/>
        </w:rPr>
        <w:footnoteReference w:id="44"/>
      </w:r>
      <w:r w:rsidRPr="000C2492">
        <w:rPr>
          <w:rFonts w:ascii="Times New Roman" w:hAnsi="Times New Roman" w:cs="Times New Roman"/>
          <w:sz w:val="24"/>
          <w:szCs w:val="24"/>
        </w:rPr>
        <w:t xml:space="preserve"> </w:t>
      </w:r>
    </w:p>
    <w:p w14:paraId="2A758C9C" w14:textId="77777777" w:rsidR="00B774D3" w:rsidRPr="000C2492" w:rsidRDefault="00B774D3" w:rsidP="000C2492">
      <w:pPr>
        <w:jc w:val="both"/>
        <w:rPr>
          <w:rFonts w:ascii="Times New Roman" w:hAnsi="Times New Roman" w:cs="Times New Roman"/>
          <w:sz w:val="24"/>
          <w:szCs w:val="24"/>
        </w:rPr>
      </w:pPr>
    </w:p>
    <w:p w14:paraId="05BBC8D0" w14:textId="3175DE80" w:rsidR="00BE7974" w:rsidRDefault="00AA30F4" w:rsidP="000C2492">
      <w:pPr>
        <w:jc w:val="both"/>
        <w:rPr>
          <w:rFonts w:ascii="Times New Roman" w:hAnsi="Times New Roman" w:cs="Times New Roman"/>
          <w:sz w:val="24"/>
          <w:szCs w:val="24"/>
        </w:rPr>
      </w:pPr>
      <w:r w:rsidRPr="000C2492">
        <w:rPr>
          <w:rFonts w:ascii="Times New Roman" w:hAnsi="Times New Roman" w:cs="Times New Roman"/>
          <w:sz w:val="24"/>
          <w:szCs w:val="24"/>
        </w:rPr>
        <w:t xml:space="preserve">To challenge </w:t>
      </w:r>
      <w:r w:rsidR="000C6872">
        <w:rPr>
          <w:rFonts w:ascii="Times New Roman" w:hAnsi="Times New Roman" w:cs="Times New Roman"/>
          <w:sz w:val="24"/>
          <w:szCs w:val="24"/>
        </w:rPr>
        <w:t xml:space="preserve">the </w:t>
      </w:r>
      <w:r w:rsidRPr="000C2492">
        <w:rPr>
          <w:rFonts w:ascii="Times New Roman" w:hAnsi="Times New Roman" w:cs="Times New Roman"/>
          <w:sz w:val="24"/>
          <w:szCs w:val="24"/>
        </w:rPr>
        <w:t>voluntariness</w:t>
      </w:r>
      <w:r w:rsidR="000C6872">
        <w:rPr>
          <w:rFonts w:ascii="Times New Roman" w:hAnsi="Times New Roman" w:cs="Times New Roman"/>
          <w:sz w:val="24"/>
          <w:szCs w:val="24"/>
        </w:rPr>
        <w:t xml:space="preserve"> of a statement</w:t>
      </w:r>
      <w:r w:rsidRPr="000C2492">
        <w:rPr>
          <w:rFonts w:ascii="Times New Roman" w:hAnsi="Times New Roman" w:cs="Times New Roman"/>
          <w:sz w:val="24"/>
          <w:szCs w:val="24"/>
        </w:rPr>
        <w:t>, an accused must show an “</w:t>
      </w:r>
      <w:r w:rsidRPr="00232D13">
        <w:rPr>
          <w:rFonts w:ascii="Times New Roman" w:hAnsi="Times New Roman" w:cs="Times New Roman"/>
          <w:i/>
          <w:iCs/>
          <w:sz w:val="24"/>
          <w:szCs w:val="24"/>
        </w:rPr>
        <w:t>objective</w:t>
      </w:r>
      <w:r w:rsidRPr="000C2492">
        <w:rPr>
          <w:rFonts w:ascii="Times New Roman" w:hAnsi="Times New Roman" w:cs="Times New Roman"/>
          <w:sz w:val="24"/>
          <w:szCs w:val="24"/>
        </w:rPr>
        <w:t>” and a “</w:t>
      </w:r>
      <w:r w:rsidRPr="00232D13">
        <w:rPr>
          <w:rFonts w:ascii="Times New Roman" w:hAnsi="Times New Roman" w:cs="Times New Roman"/>
          <w:i/>
          <w:iCs/>
          <w:sz w:val="24"/>
          <w:szCs w:val="24"/>
        </w:rPr>
        <w:t>subjective</w:t>
      </w:r>
      <w:r w:rsidRPr="000C2492">
        <w:rPr>
          <w:rFonts w:ascii="Times New Roman" w:hAnsi="Times New Roman" w:cs="Times New Roman"/>
          <w:sz w:val="24"/>
          <w:szCs w:val="24"/>
        </w:rPr>
        <w:t>” element.</w:t>
      </w:r>
      <w:r w:rsidRPr="000C2492">
        <w:rPr>
          <w:rFonts w:ascii="Times New Roman" w:hAnsi="Times New Roman" w:cs="Times New Roman"/>
          <w:sz w:val="24"/>
          <w:szCs w:val="24"/>
          <w:vertAlign w:val="superscript"/>
        </w:rPr>
        <w:footnoteReference w:id="45"/>
      </w:r>
      <w:r w:rsidRPr="000C2492">
        <w:rPr>
          <w:rFonts w:ascii="Times New Roman" w:hAnsi="Times New Roman" w:cs="Times New Roman"/>
          <w:sz w:val="24"/>
          <w:szCs w:val="24"/>
        </w:rPr>
        <w:t xml:space="preserve"> The </w:t>
      </w:r>
      <w:r w:rsidRPr="00260B67">
        <w:rPr>
          <w:rFonts w:ascii="Times New Roman" w:hAnsi="Times New Roman" w:cs="Times New Roman"/>
          <w:i/>
          <w:iCs/>
          <w:sz w:val="24"/>
          <w:szCs w:val="24"/>
        </w:rPr>
        <w:t>objective</w:t>
      </w:r>
      <w:r w:rsidRPr="000C2492">
        <w:rPr>
          <w:rFonts w:ascii="Times New Roman" w:hAnsi="Times New Roman" w:cs="Times New Roman"/>
          <w:sz w:val="24"/>
          <w:szCs w:val="24"/>
        </w:rPr>
        <w:t xml:space="preserve"> element is satisfied if there was an inducement, threat, or promise from a person in authority with reference to the charge.</w:t>
      </w:r>
      <w:r w:rsidRPr="000C2492">
        <w:rPr>
          <w:rFonts w:ascii="Times New Roman" w:hAnsi="Times New Roman" w:cs="Times New Roman"/>
          <w:sz w:val="24"/>
          <w:szCs w:val="24"/>
          <w:vertAlign w:val="superscript"/>
        </w:rPr>
        <w:footnoteReference w:id="46"/>
      </w:r>
      <w:r w:rsidRPr="000C2492">
        <w:rPr>
          <w:rFonts w:ascii="Times New Roman" w:hAnsi="Times New Roman" w:cs="Times New Roman"/>
          <w:sz w:val="24"/>
          <w:szCs w:val="24"/>
        </w:rPr>
        <w:t xml:space="preserve"> This entails considering what might be gained or lost as well as the degree of assurance.</w:t>
      </w:r>
      <w:r w:rsidRPr="000C2492">
        <w:rPr>
          <w:rFonts w:ascii="Times New Roman" w:hAnsi="Times New Roman" w:cs="Times New Roman"/>
          <w:sz w:val="24"/>
          <w:szCs w:val="24"/>
          <w:vertAlign w:val="superscript"/>
        </w:rPr>
        <w:footnoteReference w:id="47"/>
      </w:r>
      <w:r w:rsidR="00397ED1">
        <w:rPr>
          <w:rFonts w:ascii="Times New Roman" w:hAnsi="Times New Roman" w:cs="Times New Roman"/>
          <w:sz w:val="24"/>
          <w:szCs w:val="24"/>
        </w:rPr>
        <w:t xml:space="preserve"> </w:t>
      </w:r>
      <w:r w:rsidR="00732136">
        <w:rPr>
          <w:rFonts w:ascii="Times New Roman" w:hAnsi="Times New Roman" w:cs="Times New Roman"/>
          <w:sz w:val="24"/>
          <w:szCs w:val="24"/>
        </w:rPr>
        <w:t>Further</w:t>
      </w:r>
      <w:r w:rsidR="00BE7974">
        <w:rPr>
          <w:rFonts w:ascii="Times New Roman" w:hAnsi="Times New Roman" w:cs="Times New Roman"/>
          <w:sz w:val="24"/>
          <w:szCs w:val="24"/>
        </w:rPr>
        <w:t xml:space="preserve">, the objective element may also be satisfied </w:t>
      </w:r>
      <w:r w:rsidR="00732136">
        <w:rPr>
          <w:rFonts w:ascii="Times New Roman" w:hAnsi="Times New Roman" w:cs="Times New Roman"/>
          <w:sz w:val="24"/>
          <w:szCs w:val="24"/>
        </w:rPr>
        <w:t>where</w:t>
      </w:r>
      <w:r w:rsidR="00BE7974">
        <w:rPr>
          <w:rFonts w:ascii="Times New Roman" w:hAnsi="Times New Roman" w:cs="Times New Roman"/>
          <w:sz w:val="24"/>
          <w:szCs w:val="24"/>
        </w:rPr>
        <w:t xml:space="preserve"> there is oppressive questioning by the authorities,</w:t>
      </w:r>
      <w:r w:rsidR="00BE7974">
        <w:rPr>
          <w:rStyle w:val="FootnoteReference"/>
          <w:rFonts w:ascii="Times New Roman" w:hAnsi="Times New Roman" w:cs="Times New Roman"/>
          <w:sz w:val="24"/>
          <w:szCs w:val="24"/>
        </w:rPr>
        <w:footnoteReference w:id="48"/>
      </w:r>
      <w:r w:rsidR="00BE7974">
        <w:rPr>
          <w:rFonts w:ascii="Times New Roman" w:hAnsi="Times New Roman" w:cs="Times New Roman"/>
          <w:sz w:val="24"/>
          <w:szCs w:val="24"/>
        </w:rPr>
        <w:t xml:space="preserve"> or if the accused was suffering from the severe effects </w:t>
      </w:r>
      <w:r w:rsidR="00BE7974" w:rsidRPr="00BE7974">
        <w:rPr>
          <w:rFonts w:ascii="Times New Roman" w:hAnsi="Times New Roman" w:cs="Times New Roman"/>
          <w:sz w:val="24"/>
          <w:szCs w:val="24"/>
        </w:rPr>
        <w:t xml:space="preserve">of a </w:t>
      </w:r>
      <w:r w:rsidR="00BE7974" w:rsidRPr="00BE7974">
        <w:rPr>
          <w:sz w:val="24"/>
          <w:szCs w:val="24"/>
        </w:rPr>
        <w:t>medical or psychological condition at the time of his statement</w:t>
      </w:r>
      <w:r w:rsidR="00BE7974">
        <w:rPr>
          <w:rFonts w:ascii="Times New Roman" w:hAnsi="Times New Roman" w:cs="Times New Roman"/>
          <w:sz w:val="24"/>
          <w:szCs w:val="24"/>
        </w:rPr>
        <w:t>.</w:t>
      </w:r>
      <w:r w:rsidR="00BE7974">
        <w:rPr>
          <w:rStyle w:val="FootnoteReference"/>
          <w:rFonts w:ascii="Times New Roman" w:hAnsi="Times New Roman" w:cs="Times New Roman"/>
          <w:sz w:val="24"/>
          <w:szCs w:val="24"/>
        </w:rPr>
        <w:footnoteReference w:id="49"/>
      </w:r>
    </w:p>
    <w:p w14:paraId="59DF88E8" w14:textId="77777777" w:rsidR="00BE7974" w:rsidRDefault="00BE7974" w:rsidP="000C2492">
      <w:pPr>
        <w:jc w:val="both"/>
        <w:rPr>
          <w:rFonts w:ascii="Times New Roman" w:hAnsi="Times New Roman" w:cs="Times New Roman"/>
          <w:sz w:val="24"/>
          <w:szCs w:val="24"/>
        </w:rPr>
      </w:pPr>
    </w:p>
    <w:p w14:paraId="0162D47D" w14:textId="10139248" w:rsidR="00736167" w:rsidRDefault="00E74346" w:rsidP="000C2492">
      <w:pPr>
        <w:jc w:val="both"/>
        <w:rPr>
          <w:rFonts w:ascii="Times New Roman" w:hAnsi="Times New Roman" w:cs="Times New Roman"/>
          <w:sz w:val="24"/>
          <w:szCs w:val="24"/>
        </w:rPr>
      </w:pPr>
      <w:r>
        <w:rPr>
          <w:rFonts w:ascii="Times New Roman" w:hAnsi="Times New Roman" w:cs="Times New Roman"/>
          <w:sz w:val="24"/>
          <w:szCs w:val="24"/>
        </w:rPr>
        <w:t>T</w:t>
      </w:r>
      <w:r w:rsidR="00AA30F4" w:rsidRPr="000C2492">
        <w:rPr>
          <w:rFonts w:ascii="Times New Roman" w:hAnsi="Times New Roman" w:cs="Times New Roman"/>
          <w:sz w:val="24"/>
          <w:szCs w:val="24"/>
        </w:rPr>
        <w:t xml:space="preserve">he </w:t>
      </w:r>
      <w:r w:rsidR="00AA30F4" w:rsidRPr="00260B67">
        <w:rPr>
          <w:rFonts w:ascii="Times New Roman" w:hAnsi="Times New Roman" w:cs="Times New Roman"/>
          <w:i/>
          <w:iCs/>
          <w:sz w:val="24"/>
          <w:szCs w:val="24"/>
        </w:rPr>
        <w:t>subjective</w:t>
      </w:r>
      <w:r w:rsidR="00AA30F4" w:rsidRPr="000C2492">
        <w:rPr>
          <w:rFonts w:ascii="Times New Roman" w:hAnsi="Times New Roman" w:cs="Times New Roman"/>
          <w:sz w:val="24"/>
          <w:szCs w:val="24"/>
        </w:rPr>
        <w:t xml:space="preserve"> aspect is satisfied if the inducement, threat, or promise operates on the mind of the accused through hope of escape or fear of punishment connected with the charge.</w:t>
      </w:r>
      <w:r w:rsidR="00AA30F4" w:rsidRPr="000C2492">
        <w:rPr>
          <w:rFonts w:ascii="Times New Roman" w:hAnsi="Times New Roman" w:cs="Times New Roman"/>
          <w:sz w:val="24"/>
          <w:szCs w:val="24"/>
          <w:vertAlign w:val="superscript"/>
        </w:rPr>
        <w:footnoteReference w:id="50"/>
      </w:r>
      <w:r w:rsidR="00AA30F4" w:rsidRPr="000C2492">
        <w:rPr>
          <w:rFonts w:ascii="Times New Roman" w:hAnsi="Times New Roman" w:cs="Times New Roman"/>
          <w:sz w:val="24"/>
          <w:szCs w:val="24"/>
        </w:rPr>
        <w:t xml:space="preserve"> However, the accused must still have reasonable grounds to believe that, by making the statement, he would gain an advantage or avoid any evil of a temporal nature in reference to the proceedings against him.</w:t>
      </w:r>
      <w:r w:rsidR="00AA30F4" w:rsidRPr="000C2492">
        <w:rPr>
          <w:rFonts w:ascii="Times New Roman" w:hAnsi="Times New Roman" w:cs="Times New Roman"/>
          <w:sz w:val="24"/>
          <w:szCs w:val="24"/>
          <w:vertAlign w:val="superscript"/>
        </w:rPr>
        <w:footnoteReference w:id="51"/>
      </w:r>
      <w:r w:rsidR="00AA30F4" w:rsidRPr="000C2492">
        <w:rPr>
          <w:rFonts w:ascii="Times New Roman" w:hAnsi="Times New Roman" w:cs="Times New Roman"/>
          <w:sz w:val="24"/>
          <w:szCs w:val="24"/>
        </w:rPr>
        <w:t xml:space="preserve"> </w:t>
      </w:r>
    </w:p>
    <w:p w14:paraId="68612E71" w14:textId="77777777" w:rsidR="00736167" w:rsidRDefault="00736167" w:rsidP="000C2492">
      <w:pPr>
        <w:jc w:val="both"/>
        <w:rPr>
          <w:rFonts w:ascii="Times New Roman" w:hAnsi="Times New Roman" w:cs="Times New Roman"/>
          <w:sz w:val="24"/>
          <w:szCs w:val="24"/>
        </w:rPr>
      </w:pPr>
    </w:p>
    <w:p w14:paraId="6931B2E8" w14:textId="172EB2D6" w:rsidR="00446001" w:rsidRPr="000C2492" w:rsidRDefault="00F76AD0" w:rsidP="000C2492">
      <w:pPr>
        <w:jc w:val="both"/>
        <w:rPr>
          <w:rFonts w:ascii="Times New Roman" w:hAnsi="Times New Roman" w:cs="Times New Roman"/>
          <w:sz w:val="24"/>
          <w:szCs w:val="24"/>
        </w:rPr>
      </w:pPr>
      <w:r>
        <w:rPr>
          <w:rFonts w:ascii="Times New Roman" w:hAnsi="Times New Roman" w:cs="Times New Roman"/>
          <w:sz w:val="24"/>
          <w:szCs w:val="24"/>
        </w:rPr>
        <w:t>For instance, i</w:t>
      </w:r>
      <w:r w:rsidR="001F0766" w:rsidRPr="000C2492">
        <w:rPr>
          <w:rFonts w:ascii="Times New Roman" w:hAnsi="Times New Roman" w:cs="Times New Roman"/>
          <w:sz w:val="24"/>
          <w:szCs w:val="24"/>
        </w:rPr>
        <w:t xml:space="preserve">n </w:t>
      </w:r>
      <w:r w:rsidR="001F0766" w:rsidRPr="000C2492">
        <w:rPr>
          <w:rFonts w:ascii="Times New Roman" w:hAnsi="Times New Roman" w:cs="Times New Roman"/>
          <w:i/>
          <w:iCs/>
          <w:sz w:val="24"/>
          <w:szCs w:val="24"/>
        </w:rPr>
        <w:t>Cheng Heng Lee v Public Prosecutor</w:t>
      </w:r>
      <w:r w:rsidR="001F0766" w:rsidRPr="000C2492">
        <w:rPr>
          <w:rFonts w:ascii="Times New Roman" w:hAnsi="Times New Roman" w:cs="Times New Roman"/>
          <w:sz w:val="24"/>
          <w:szCs w:val="24"/>
        </w:rPr>
        <w:t xml:space="preserve">, the </w:t>
      </w:r>
      <w:r w:rsidR="00275091">
        <w:rPr>
          <w:rFonts w:ascii="Times New Roman" w:hAnsi="Times New Roman" w:cs="Times New Roman"/>
          <w:sz w:val="24"/>
          <w:szCs w:val="24"/>
        </w:rPr>
        <w:t>court</w:t>
      </w:r>
      <w:r w:rsidR="001F0766" w:rsidRPr="000C2492">
        <w:rPr>
          <w:rFonts w:ascii="Times New Roman" w:hAnsi="Times New Roman" w:cs="Times New Roman"/>
          <w:sz w:val="24"/>
          <w:szCs w:val="24"/>
        </w:rPr>
        <w:t xml:space="preserve"> commented that the </w:t>
      </w:r>
      <w:r w:rsidR="00530305">
        <w:rPr>
          <w:rFonts w:ascii="Times New Roman" w:hAnsi="Times New Roman" w:cs="Times New Roman"/>
          <w:sz w:val="24"/>
          <w:szCs w:val="24"/>
        </w:rPr>
        <w:t xml:space="preserve">accused’s </w:t>
      </w:r>
      <w:r w:rsidR="001F0766" w:rsidRPr="000C2492">
        <w:rPr>
          <w:rFonts w:ascii="Times New Roman" w:hAnsi="Times New Roman" w:cs="Times New Roman"/>
          <w:sz w:val="24"/>
          <w:szCs w:val="24"/>
        </w:rPr>
        <w:t>statement would be inadmissible if the investigating officer had said to the accused</w:t>
      </w:r>
      <w:r w:rsidR="00530305">
        <w:rPr>
          <w:rFonts w:ascii="Times New Roman" w:hAnsi="Times New Roman" w:cs="Times New Roman"/>
          <w:sz w:val="24"/>
          <w:szCs w:val="24"/>
        </w:rPr>
        <w:t>,</w:t>
      </w:r>
      <w:r w:rsidR="001F0766" w:rsidRPr="000C2492">
        <w:rPr>
          <w:rFonts w:ascii="Times New Roman" w:hAnsi="Times New Roman" w:cs="Times New Roman"/>
          <w:sz w:val="24"/>
          <w:szCs w:val="24"/>
        </w:rPr>
        <w:t xml:space="preserve"> “You better cooperate with </w:t>
      </w:r>
      <w:proofErr w:type="gramStart"/>
      <w:r w:rsidR="001F0766" w:rsidRPr="000C2492">
        <w:rPr>
          <w:rFonts w:ascii="Times New Roman" w:hAnsi="Times New Roman" w:cs="Times New Roman"/>
          <w:sz w:val="24"/>
          <w:szCs w:val="24"/>
        </w:rPr>
        <w:t>me</w:t>
      </w:r>
      <w:proofErr w:type="gramEnd"/>
      <w:r w:rsidR="001F0766" w:rsidRPr="000C2492">
        <w:rPr>
          <w:rFonts w:ascii="Times New Roman" w:hAnsi="Times New Roman" w:cs="Times New Roman"/>
          <w:sz w:val="24"/>
          <w:szCs w:val="24"/>
        </w:rPr>
        <w:t xml:space="preserve"> and I will help you. If not, you will surely hang”.</w:t>
      </w:r>
      <w:r w:rsidR="001F0766" w:rsidRPr="000C2492">
        <w:rPr>
          <w:rFonts w:ascii="Times New Roman" w:hAnsi="Times New Roman" w:cs="Times New Roman"/>
          <w:sz w:val="24"/>
          <w:szCs w:val="24"/>
          <w:vertAlign w:val="superscript"/>
        </w:rPr>
        <w:footnoteReference w:id="52"/>
      </w:r>
      <w:r w:rsidR="001F0766" w:rsidRPr="000C2492">
        <w:rPr>
          <w:rFonts w:ascii="Times New Roman" w:hAnsi="Times New Roman" w:cs="Times New Roman"/>
          <w:sz w:val="24"/>
          <w:szCs w:val="24"/>
        </w:rPr>
        <w:t xml:space="preserve"> </w:t>
      </w:r>
      <w:r w:rsidR="00D24238" w:rsidRPr="000C2492">
        <w:rPr>
          <w:rFonts w:ascii="Times New Roman" w:hAnsi="Times New Roman" w:cs="Times New Roman"/>
          <w:sz w:val="24"/>
          <w:szCs w:val="24"/>
        </w:rPr>
        <w:t xml:space="preserve">In contrast, </w:t>
      </w:r>
      <w:r w:rsidR="008609A4">
        <w:rPr>
          <w:rFonts w:ascii="Times New Roman" w:hAnsi="Times New Roman" w:cs="Times New Roman"/>
          <w:sz w:val="24"/>
          <w:szCs w:val="24"/>
        </w:rPr>
        <w:t>the police</w:t>
      </w:r>
      <w:r w:rsidR="00005EEF">
        <w:rPr>
          <w:rFonts w:ascii="Times New Roman" w:hAnsi="Times New Roman" w:cs="Times New Roman"/>
          <w:sz w:val="24"/>
          <w:szCs w:val="24"/>
        </w:rPr>
        <w:t xml:space="preserve"> </w:t>
      </w:r>
      <w:r w:rsidR="00005EEF">
        <w:rPr>
          <w:rFonts w:ascii="Times New Roman" w:hAnsi="Times New Roman" w:cs="Times New Roman"/>
          <w:sz w:val="24"/>
          <w:szCs w:val="24"/>
        </w:rPr>
        <w:lastRenderedPageBreak/>
        <w:t>telling an accused</w:t>
      </w:r>
      <w:r w:rsidR="00D24238" w:rsidRPr="000C2492">
        <w:rPr>
          <w:rFonts w:ascii="Times New Roman" w:hAnsi="Times New Roman" w:cs="Times New Roman"/>
          <w:sz w:val="24"/>
          <w:szCs w:val="24"/>
        </w:rPr>
        <w:t xml:space="preserve"> to cooperate, not lie or give “a hard time”, </w:t>
      </w:r>
      <w:r w:rsidR="00AD7829">
        <w:rPr>
          <w:rFonts w:ascii="Times New Roman" w:hAnsi="Times New Roman" w:cs="Times New Roman"/>
          <w:sz w:val="24"/>
          <w:szCs w:val="24"/>
        </w:rPr>
        <w:t xml:space="preserve">or </w:t>
      </w:r>
      <w:r w:rsidR="00D24238" w:rsidRPr="000C2492">
        <w:rPr>
          <w:rFonts w:ascii="Times New Roman" w:hAnsi="Times New Roman" w:cs="Times New Roman"/>
          <w:sz w:val="24"/>
          <w:szCs w:val="24"/>
        </w:rPr>
        <w:t>that he would be facing the death penalty</w:t>
      </w:r>
      <w:r w:rsidR="00D11074">
        <w:rPr>
          <w:rFonts w:ascii="Times New Roman" w:hAnsi="Times New Roman" w:cs="Times New Roman"/>
          <w:sz w:val="24"/>
          <w:szCs w:val="24"/>
        </w:rPr>
        <w:t xml:space="preserve"> otherwise</w:t>
      </w:r>
      <w:r w:rsidR="00D84851">
        <w:rPr>
          <w:rFonts w:ascii="Times New Roman" w:hAnsi="Times New Roman" w:cs="Times New Roman"/>
          <w:sz w:val="24"/>
          <w:szCs w:val="24"/>
        </w:rPr>
        <w:t>,</w:t>
      </w:r>
      <w:r w:rsidR="00D24238" w:rsidRPr="000C2492">
        <w:rPr>
          <w:rFonts w:ascii="Times New Roman" w:hAnsi="Times New Roman" w:cs="Times New Roman"/>
          <w:sz w:val="24"/>
          <w:szCs w:val="24"/>
        </w:rPr>
        <w:t xml:space="preserve"> would not ordinarily amount to </w:t>
      </w:r>
      <w:r w:rsidR="00807B5C">
        <w:rPr>
          <w:rFonts w:ascii="Times New Roman" w:hAnsi="Times New Roman" w:cs="Times New Roman"/>
          <w:sz w:val="24"/>
          <w:szCs w:val="24"/>
        </w:rPr>
        <w:t xml:space="preserve">an </w:t>
      </w:r>
      <w:r w:rsidR="003C45AB">
        <w:rPr>
          <w:rFonts w:ascii="Times New Roman" w:hAnsi="Times New Roman" w:cs="Times New Roman"/>
          <w:sz w:val="24"/>
          <w:szCs w:val="24"/>
        </w:rPr>
        <w:t>inducement</w:t>
      </w:r>
      <w:r w:rsidR="00807B5C">
        <w:rPr>
          <w:rFonts w:ascii="Times New Roman" w:hAnsi="Times New Roman" w:cs="Times New Roman"/>
          <w:sz w:val="24"/>
          <w:szCs w:val="24"/>
        </w:rPr>
        <w:t xml:space="preserve">, threat, </w:t>
      </w:r>
      <w:r w:rsidR="00D24238" w:rsidRPr="000C2492">
        <w:rPr>
          <w:rFonts w:ascii="Times New Roman" w:hAnsi="Times New Roman" w:cs="Times New Roman"/>
          <w:sz w:val="24"/>
          <w:szCs w:val="24"/>
        </w:rPr>
        <w:t>or oppression.</w:t>
      </w:r>
      <w:r w:rsidR="00D24238" w:rsidRPr="000C2492">
        <w:rPr>
          <w:rStyle w:val="FootnoteReference"/>
          <w:rFonts w:ascii="Times New Roman" w:hAnsi="Times New Roman" w:cs="Times New Roman"/>
          <w:sz w:val="24"/>
          <w:szCs w:val="24"/>
        </w:rPr>
        <w:footnoteReference w:id="53"/>
      </w:r>
      <w:r w:rsidR="00C149F4" w:rsidRPr="000C2492">
        <w:rPr>
          <w:rFonts w:ascii="Times New Roman" w:hAnsi="Times New Roman" w:cs="Times New Roman"/>
          <w:sz w:val="24"/>
          <w:szCs w:val="24"/>
        </w:rPr>
        <w:t xml:space="preserve"> </w:t>
      </w:r>
    </w:p>
    <w:p w14:paraId="3BFF7EBC" w14:textId="5CEC65B2" w:rsidR="00446001" w:rsidRPr="000C2492" w:rsidRDefault="00446001" w:rsidP="000C2492">
      <w:pPr>
        <w:jc w:val="both"/>
        <w:rPr>
          <w:rFonts w:ascii="Times New Roman" w:hAnsi="Times New Roman" w:cs="Times New Roman"/>
          <w:sz w:val="24"/>
          <w:szCs w:val="24"/>
        </w:rPr>
      </w:pPr>
    </w:p>
    <w:p w14:paraId="2A417708" w14:textId="613F1B40" w:rsidR="00FA4CCB" w:rsidRPr="000C2492" w:rsidRDefault="001F0766" w:rsidP="000C2492">
      <w:pPr>
        <w:jc w:val="both"/>
        <w:rPr>
          <w:rFonts w:ascii="Times New Roman" w:hAnsi="Times New Roman" w:cs="Times New Roman"/>
          <w:sz w:val="24"/>
          <w:szCs w:val="24"/>
        </w:rPr>
      </w:pPr>
      <w:r w:rsidRPr="000C2492">
        <w:rPr>
          <w:rFonts w:ascii="Times New Roman" w:hAnsi="Times New Roman" w:cs="Times New Roman"/>
          <w:sz w:val="24"/>
          <w:szCs w:val="24"/>
        </w:rPr>
        <w:t xml:space="preserve">However, the circumstances </w:t>
      </w:r>
      <w:r w:rsidR="00B420AD" w:rsidRPr="000C2492">
        <w:rPr>
          <w:rFonts w:ascii="Times New Roman" w:hAnsi="Times New Roman" w:cs="Times New Roman"/>
          <w:sz w:val="24"/>
          <w:szCs w:val="24"/>
        </w:rPr>
        <w:t>where these elements</w:t>
      </w:r>
      <w:r w:rsidR="00D8632D">
        <w:rPr>
          <w:rFonts w:ascii="Times New Roman" w:hAnsi="Times New Roman" w:cs="Times New Roman"/>
          <w:sz w:val="24"/>
          <w:szCs w:val="24"/>
        </w:rPr>
        <w:t xml:space="preserve"> (objective and subjective)</w:t>
      </w:r>
      <w:r w:rsidR="00B420AD" w:rsidRPr="000C2492">
        <w:rPr>
          <w:rFonts w:ascii="Times New Roman" w:hAnsi="Times New Roman" w:cs="Times New Roman"/>
          <w:sz w:val="24"/>
          <w:szCs w:val="24"/>
        </w:rPr>
        <w:t xml:space="preserve"> are </w:t>
      </w:r>
      <w:r w:rsidR="001A494F" w:rsidRPr="000C2492">
        <w:rPr>
          <w:rFonts w:ascii="Times New Roman" w:hAnsi="Times New Roman" w:cs="Times New Roman"/>
          <w:sz w:val="24"/>
          <w:szCs w:val="24"/>
        </w:rPr>
        <w:t xml:space="preserve">satisfied </w:t>
      </w:r>
      <w:r w:rsidR="00F7340B">
        <w:rPr>
          <w:rFonts w:ascii="Times New Roman" w:hAnsi="Times New Roman" w:cs="Times New Roman"/>
          <w:sz w:val="24"/>
          <w:szCs w:val="24"/>
        </w:rPr>
        <w:t>are</w:t>
      </w:r>
      <w:r w:rsidR="00F7340B" w:rsidRPr="000C2492">
        <w:rPr>
          <w:rFonts w:ascii="Times New Roman" w:hAnsi="Times New Roman" w:cs="Times New Roman"/>
          <w:sz w:val="24"/>
          <w:szCs w:val="24"/>
        </w:rPr>
        <w:t xml:space="preserve"> </w:t>
      </w:r>
      <w:r w:rsidRPr="000C2492">
        <w:rPr>
          <w:rFonts w:ascii="Times New Roman" w:hAnsi="Times New Roman" w:cs="Times New Roman"/>
          <w:sz w:val="24"/>
          <w:szCs w:val="24"/>
        </w:rPr>
        <w:t xml:space="preserve">not </w:t>
      </w:r>
      <w:r w:rsidR="004E0003" w:rsidRPr="000C2492">
        <w:rPr>
          <w:rFonts w:ascii="Times New Roman" w:hAnsi="Times New Roman" w:cs="Times New Roman"/>
          <w:sz w:val="24"/>
          <w:szCs w:val="24"/>
        </w:rPr>
        <w:t xml:space="preserve">always </w:t>
      </w:r>
      <w:r w:rsidRPr="000C2492">
        <w:rPr>
          <w:rFonts w:ascii="Times New Roman" w:hAnsi="Times New Roman" w:cs="Times New Roman"/>
          <w:sz w:val="24"/>
          <w:szCs w:val="24"/>
        </w:rPr>
        <w:t>clear</w:t>
      </w:r>
      <w:r w:rsidR="006001F1" w:rsidRPr="000C2492">
        <w:rPr>
          <w:rFonts w:ascii="Times New Roman" w:hAnsi="Times New Roman" w:cs="Times New Roman"/>
          <w:sz w:val="24"/>
          <w:szCs w:val="24"/>
        </w:rPr>
        <w:t xml:space="preserve"> cut</w:t>
      </w:r>
      <w:r w:rsidRPr="000C2492">
        <w:rPr>
          <w:rFonts w:ascii="Times New Roman" w:hAnsi="Times New Roman" w:cs="Times New Roman"/>
          <w:sz w:val="24"/>
          <w:szCs w:val="24"/>
        </w:rPr>
        <w:t xml:space="preserve">. </w:t>
      </w:r>
      <w:r w:rsidR="00FA4CCB" w:rsidRPr="000C2492">
        <w:rPr>
          <w:rFonts w:ascii="Times New Roman" w:hAnsi="Times New Roman" w:cs="Times New Roman"/>
          <w:sz w:val="24"/>
          <w:szCs w:val="24"/>
        </w:rPr>
        <w:t xml:space="preserve">In </w:t>
      </w:r>
      <w:r w:rsidRPr="00920AB9">
        <w:rPr>
          <w:rFonts w:ascii="Times New Roman" w:hAnsi="Times New Roman" w:cs="Times New Roman"/>
          <w:i/>
          <w:iCs/>
          <w:sz w:val="24"/>
          <w:szCs w:val="24"/>
        </w:rPr>
        <w:t>Public Prosecutor</w:t>
      </w:r>
      <w:r w:rsidRPr="00736167">
        <w:rPr>
          <w:rFonts w:ascii="Times New Roman" w:hAnsi="Times New Roman" w:cs="Times New Roman"/>
          <w:i/>
          <w:iCs/>
          <w:sz w:val="24"/>
          <w:szCs w:val="24"/>
        </w:rPr>
        <w:t xml:space="preserve"> v Mohamed Ansari bin Mohamed Abdul Aziz</w:t>
      </w:r>
      <w:r w:rsidR="00FA4CCB" w:rsidRPr="000C2492">
        <w:rPr>
          <w:rFonts w:ascii="Times New Roman" w:hAnsi="Times New Roman" w:cs="Times New Roman"/>
          <w:sz w:val="24"/>
          <w:szCs w:val="24"/>
        </w:rPr>
        <w:t>, the accused had pleaded with the police to let his girlfriend go as she was not involved in the drugs, and the sergeant had apparently said “it depends on what you say”.</w:t>
      </w:r>
      <w:r w:rsidR="00D34733">
        <w:rPr>
          <w:rStyle w:val="FootnoteReference"/>
          <w:rFonts w:ascii="Times New Roman" w:hAnsi="Times New Roman" w:cs="Times New Roman"/>
          <w:sz w:val="24"/>
          <w:szCs w:val="24"/>
        </w:rPr>
        <w:footnoteReference w:id="54"/>
      </w:r>
      <w:r w:rsidR="00FA4CCB" w:rsidRPr="000C2492">
        <w:rPr>
          <w:rFonts w:ascii="Times New Roman" w:hAnsi="Times New Roman" w:cs="Times New Roman"/>
          <w:sz w:val="24"/>
          <w:szCs w:val="24"/>
        </w:rPr>
        <w:t xml:space="preserve"> The court concluded that </w:t>
      </w:r>
      <w:r w:rsidR="00CF43FD">
        <w:rPr>
          <w:rFonts w:ascii="Times New Roman" w:hAnsi="Times New Roman" w:cs="Times New Roman"/>
          <w:sz w:val="24"/>
          <w:szCs w:val="24"/>
        </w:rPr>
        <w:t>this</w:t>
      </w:r>
      <w:r w:rsidR="00A83931">
        <w:rPr>
          <w:rFonts w:ascii="Times New Roman" w:hAnsi="Times New Roman" w:cs="Times New Roman"/>
          <w:sz w:val="24"/>
          <w:szCs w:val="24"/>
        </w:rPr>
        <w:t xml:space="preserve"> </w:t>
      </w:r>
      <w:r w:rsidR="00D24238" w:rsidRPr="000C2492">
        <w:rPr>
          <w:rFonts w:ascii="Times New Roman" w:hAnsi="Times New Roman" w:cs="Times New Roman"/>
          <w:sz w:val="24"/>
          <w:szCs w:val="24"/>
        </w:rPr>
        <w:t xml:space="preserve">ambiguous </w:t>
      </w:r>
      <w:r w:rsidR="00A333D7">
        <w:rPr>
          <w:rFonts w:ascii="Times New Roman" w:hAnsi="Times New Roman" w:cs="Times New Roman"/>
          <w:sz w:val="24"/>
          <w:szCs w:val="24"/>
        </w:rPr>
        <w:t>remark</w:t>
      </w:r>
      <w:r w:rsidR="00D24238" w:rsidRPr="000C2492">
        <w:rPr>
          <w:rFonts w:ascii="Times New Roman" w:hAnsi="Times New Roman" w:cs="Times New Roman"/>
          <w:sz w:val="24"/>
          <w:szCs w:val="24"/>
        </w:rPr>
        <w:t xml:space="preserve"> </w:t>
      </w:r>
      <w:r w:rsidR="00232D13">
        <w:rPr>
          <w:rFonts w:ascii="Times New Roman" w:hAnsi="Times New Roman" w:cs="Times New Roman"/>
          <w:sz w:val="24"/>
          <w:szCs w:val="24"/>
        </w:rPr>
        <w:t xml:space="preserve">had </w:t>
      </w:r>
      <w:r w:rsidR="00FF39D8">
        <w:rPr>
          <w:rFonts w:ascii="Times New Roman" w:hAnsi="Times New Roman" w:cs="Times New Roman"/>
          <w:sz w:val="24"/>
          <w:szCs w:val="24"/>
        </w:rPr>
        <w:t xml:space="preserve">cast </w:t>
      </w:r>
      <w:r w:rsidR="00FA4CCB" w:rsidRPr="000C2492">
        <w:rPr>
          <w:rFonts w:ascii="Times New Roman" w:hAnsi="Times New Roman" w:cs="Times New Roman"/>
          <w:sz w:val="24"/>
          <w:szCs w:val="24"/>
        </w:rPr>
        <w:t>a reasonable doubt</w:t>
      </w:r>
      <w:r w:rsidR="00FF39D8">
        <w:rPr>
          <w:rFonts w:ascii="Times New Roman" w:hAnsi="Times New Roman" w:cs="Times New Roman"/>
          <w:sz w:val="24"/>
          <w:szCs w:val="24"/>
        </w:rPr>
        <w:t xml:space="preserve"> on voluntariness</w:t>
      </w:r>
      <w:r w:rsidR="00A333D7">
        <w:rPr>
          <w:rFonts w:ascii="Times New Roman" w:hAnsi="Times New Roman" w:cs="Times New Roman"/>
          <w:sz w:val="24"/>
          <w:szCs w:val="24"/>
        </w:rPr>
        <w:t xml:space="preserve"> of the accused’s statement</w:t>
      </w:r>
      <w:r w:rsidR="000E0BA0">
        <w:rPr>
          <w:rFonts w:ascii="Times New Roman" w:hAnsi="Times New Roman" w:cs="Times New Roman"/>
          <w:sz w:val="24"/>
          <w:szCs w:val="24"/>
        </w:rPr>
        <w:t>:</w:t>
      </w:r>
      <w:r w:rsidR="008F5DD7">
        <w:rPr>
          <w:rStyle w:val="FootnoteReference"/>
          <w:rFonts w:ascii="Times New Roman" w:hAnsi="Times New Roman" w:cs="Times New Roman"/>
          <w:sz w:val="24"/>
          <w:szCs w:val="24"/>
        </w:rPr>
        <w:footnoteReference w:id="55"/>
      </w:r>
      <w:r w:rsidR="00FA4CCB" w:rsidRPr="000C2492">
        <w:rPr>
          <w:rFonts w:ascii="Times New Roman" w:hAnsi="Times New Roman" w:cs="Times New Roman"/>
          <w:sz w:val="24"/>
          <w:szCs w:val="24"/>
        </w:rPr>
        <w:t xml:space="preserve"> </w:t>
      </w:r>
      <w:r w:rsidR="000E0BA0">
        <w:rPr>
          <w:rFonts w:ascii="Times New Roman" w:hAnsi="Times New Roman" w:cs="Times New Roman"/>
          <w:sz w:val="24"/>
          <w:szCs w:val="24"/>
        </w:rPr>
        <w:t>h</w:t>
      </w:r>
      <w:r w:rsidR="003A6FC0">
        <w:rPr>
          <w:rFonts w:ascii="Times New Roman" w:hAnsi="Times New Roman" w:cs="Times New Roman"/>
          <w:sz w:val="24"/>
          <w:szCs w:val="24"/>
        </w:rPr>
        <w:t xml:space="preserve">is </w:t>
      </w:r>
      <w:r w:rsidR="00D9768B">
        <w:rPr>
          <w:rFonts w:ascii="Times New Roman" w:hAnsi="Times New Roman" w:cs="Times New Roman"/>
          <w:sz w:val="24"/>
          <w:szCs w:val="24"/>
        </w:rPr>
        <w:t>re</w:t>
      </w:r>
      <w:r w:rsidR="00515CAD">
        <w:rPr>
          <w:rFonts w:ascii="Times New Roman" w:hAnsi="Times New Roman" w:cs="Times New Roman"/>
          <w:sz w:val="24"/>
          <w:szCs w:val="24"/>
        </w:rPr>
        <w:t>mark</w:t>
      </w:r>
      <w:r w:rsidR="00D24238" w:rsidRPr="000C2492">
        <w:rPr>
          <w:rFonts w:ascii="Times New Roman" w:hAnsi="Times New Roman" w:cs="Times New Roman"/>
          <w:sz w:val="24"/>
          <w:szCs w:val="24"/>
        </w:rPr>
        <w:t xml:space="preserve"> </w:t>
      </w:r>
      <w:r w:rsidR="00FA4CCB" w:rsidRPr="000C2492">
        <w:rPr>
          <w:rFonts w:ascii="Times New Roman" w:hAnsi="Times New Roman" w:cs="Times New Roman"/>
          <w:sz w:val="24"/>
          <w:szCs w:val="24"/>
        </w:rPr>
        <w:t>could constitute an inducement for the accused to give a positive statement admitting full responsibility for the drugs</w:t>
      </w:r>
      <w:r w:rsidR="00C71192">
        <w:rPr>
          <w:rFonts w:ascii="Times New Roman" w:hAnsi="Times New Roman" w:cs="Times New Roman"/>
          <w:sz w:val="24"/>
          <w:szCs w:val="24"/>
        </w:rPr>
        <w:t>,</w:t>
      </w:r>
      <w:r w:rsidR="00FA4CCB" w:rsidRPr="000C2492">
        <w:rPr>
          <w:rFonts w:ascii="Times New Roman" w:hAnsi="Times New Roman" w:cs="Times New Roman"/>
          <w:sz w:val="24"/>
          <w:szCs w:val="24"/>
        </w:rPr>
        <w:t xml:space="preserve"> in exchange for </w:t>
      </w:r>
      <w:r w:rsidR="00C71192">
        <w:rPr>
          <w:rFonts w:ascii="Times New Roman" w:hAnsi="Times New Roman" w:cs="Times New Roman"/>
          <w:sz w:val="24"/>
          <w:szCs w:val="24"/>
        </w:rPr>
        <w:t>the police</w:t>
      </w:r>
      <w:r w:rsidR="00C71192" w:rsidRPr="000C2492">
        <w:rPr>
          <w:rFonts w:ascii="Times New Roman" w:hAnsi="Times New Roman" w:cs="Times New Roman"/>
          <w:sz w:val="24"/>
          <w:szCs w:val="24"/>
        </w:rPr>
        <w:t xml:space="preserve"> </w:t>
      </w:r>
      <w:r w:rsidR="00FA4CCB" w:rsidRPr="000C2492">
        <w:rPr>
          <w:rFonts w:ascii="Times New Roman" w:hAnsi="Times New Roman" w:cs="Times New Roman"/>
          <w:sz w:val="24"/>
          <w:szCs w:val="24"/>
        </w:rPr>
        <w:t>acceding to his plea and releasing his girlfriend.</w:t>
      </w:r>
      <w:r w:rsidR="00FA4CCB" w:rsidRPr="000C2492">
        <w:rPr>
          <w:rStyle w:val="FootnoteReference"/>
          <w:rFonts w:ascii="Times New Roman" w:hAnsi="Times New Roman" w:cs="Times New Roman"/>
          <w:sz w:val="24"/>
          <w:szCs w:val="24"/>
        </w:rPr>
        <w:footnoteReference w:id="56"/>
      </w:r>
      <w:r w:rsidR="00DD2460">
        <w:rPr>
          <w:rFonts w:ascii="Times New Roman" w:hAnsi="Times New Roman" w:cs="Times New Roman"/>
          <w:sz w:val="24"/>
          <w:szCs w:val="24"/>
        </w:rPr>
        <w:t xml:space="preserve"> Therefore, the statement was </w:t>
      </w:r>
      <w:r w:rsidR="008618D2">
        <w:rPr>
          <w:rFonts w:ascii="Times New Roman" w:hAnsi="Times New Roman" w:cs="Times New Roman"/>
          <w:sz w:val="24"/>
          <w:szCs w:val="24"/>
        </w:rPr>
        <w:t xml:space="preserve">ruled </w:t>
      </w:r>
      <w:r w:rsidR="00783A79">
        <w:rPr>
          <w:rFonts w:ascii="Times New Roman" w:hAnsi="Times New Roman" w:cs="Times New Roman"/>
          <w:sz w:val="24"/>
          <w:szCs w:val="24"/>
        </w:rPr>
        <w:t xml:space="preserve">as </w:t>
      </w:r>
      <w:r w:rsidR="00DD2460">
        <w:rPr>
          <w:rFonts w:ascii="Times New Roman" w:hAnsi="Times New Roman" w:cs="Times New Roman"/>
          <w:sz w:val="24"/>
          <w:szCs w:val="24"/>
        </w:rPr>
        <w:t>inadmissible.</w:t>
      </w:r>
      <w:r w:rsidR="00DD2460">
        <w:rPr>
          <w:rStyle w:val="FootnoteReference"/>
          <w:rFonts w:ascii="Times New Roman" w:hAnsi="Times New Roman" w:cs="Times New Roman"/>
          <w:sz w:val="24"/>
          <w:szCs w:val="24"/>
        </w:rPr>
        <w:footnoteReference w:id="57"/>
      </w:r>
    </w:p>
    <w:p w14:paraId="558C29F1" w14:textId="77777777" w:rsidR="00F650A2" w:rsidRDefault="00F650A2" w:rsidP="000C2492">
      <w:pPr>
        <w:jc w:val="both"/>
        <w:rPr>
          <w:rFonts w:ascii="Times New Roman" w:hAnsi="Times New Roman" w:cs="Times New Roman"/>
          <w:sz w:val="24"/>
          <w:szCs w:val="24"/>
        </w:rPr>
      </w:pPr>
    </w:p>
    <w:p w14:paraId="41E295B5" w14:textId="062AB6AE" w:rsidR="00AA30F4" w:rsidRPr="000C2492" w:rsidRDefault="002034FA" w:rsidP="000C2492">
      <w:pPr>
        <w:jc w:val="both"/>
        <w:rPr>
          <w:rFonts w:ascii="Times New Roman" w:hAnsi="Times New Roman" w:cs="Times New Roman"/>
          <w:sz w:val="24"/>
          <w:szCs w:val="24"/>
        </w:rPr>
      </w:pPr>
      <w:r w:rsidRPr="000C2492">
        <w:rPr>
          <w:rFonts w:ascii="Times New Roman" w:hAnsi="Times New Roman" w:cs="Times New Roman"/>
          <w:sz w:val="24"/>
          <w:szCs w:val="24"/>
        </w:rPr>
        <w:t xml:space="preserve">If the </w:t>
      </w:r>
      <w:r w:rsidR="00AA30F4" w:rsidRPr="000C2492">
        <w:rPr>
          <w:rFonts w:ascii="Times New Roman" w:hAnsi="Times New Roman" w:cs="Times New Roman"/>
          <w:sz w:val="24"/>
          <w:szCs w:val="24"/>
        </w:rPr>
        <w:t>admissibility of a statement is challenged on substantive grounds, the prosecution would</w:t>
      </w:r>
      <w:r w:rsidR="00F650A2">
        <w:rPr>
          <w:rFonts w:ascii="Times New Roman" w:hAnsi="Times New Roman" w:cs="Times New Roman"/>
          <w:sz w:val="24"/>
          <w:szCs w:val="24"/>
        </w:rPr>
        <w:t xml:space="preserve"> </w:t>
      </w:r>
      <w:r w:rsidR="006F6542">
        <w:rPr>
          <w:rFonts w:ascii="Times New Roman" w:hAnsi="Times New Roman" w:cs="Times New Roman"/>
          <w:sz w:val="24"/>
          <w:szCs w:val="24"/>
        </w:rPr>
        <w:t>then</w:t>
      </w:r>
      <w:r w:rsidR="00F843EB">
        <w:rPr>
          <w:rFonts w:ascii="Times New Roman" w:hAnsi="Times New Roman" w:cs="Times New Roman"/>
          <w:sz w:val="24"/>
          <w:szCs w:val="24"/>
        </w:rPr>
        <w:t xml:space="preserve"> </w:t>
      </w:r>
      <w:r w:rsidR="00AA30F4" w:rsidRPr="000C2492">
        <w:rPr>
          <w:rFonts w:ascii="Times New Roman" w:hAnsi="Times New Roman" w:cs="Times New Roman"/>
          <w:sz w:val="24"/>
          <w:szCs w:val="24"/>
        </w:rPr>
        <w:t>have</w:t>
      </w:r>
      <w:r w:rsidR="00F650A2">
        <w:rPr>
          <w:rFonts w:ascii="Times New Roman" w:hAnsi="Times New Roman" w:cs="Times New Roman"/>
          <w:sz w:val="24"/>
          <w:szCs w:val="24"/>
        </w:rPr>
        <w:t xml:space="preserve"> </w:t>
      </w:r>
      <w:r w:rsidR="00AA30F4" w:rsidRPr="000C2492">
        <w:rPr>
          <w:rFonts w:ascii="Times New Roman" w:hAnsi="Times New Roman" w:cs="Times New Roman"/>
          <w:sz w:val="24"/>
          <w:szCs w:val="24"/>
        </w:rPr>
        <w:t>to</w:t>
      </w:r>
      <w:r w:rsidR="00F650A2">
        <w:rPr>
          <w:rFonts w:ascii="Times New Roman" w:hAnsi="Times New Roman" w:cs="Times New Roman"/>
          <w:sz w:val="24"/>
          <w:szCs w:val="24"/>
        </w:rPr>
        <w:t xml:space="preserve"> </w:t>
      </w:r>
      <w:r w:rsidR="00AA30F4" w:rsidRPr="000C2492">
        <w:rPr>
          <w:rFonts w:ascii="Times New Roman" w:hAnsi="Times New Roman" w:cs="Times New Roman"/>
          <w:sz w:val="24"/>
          <w:szCs w:val="24"/>
        </w:rPr>
        <w:t>prove</w:t>
      </w:r>
      <w:r w:rsidR="00F650A2">
        <w:rPr>
          <w:rFonts w:ascii="Times New Roman" w:hAnsi="Times New Roman" w:cs="Times New Roman"/>
          <w:sz w:val="24"/>
          <w:szCs w:val="24"/>
        </w:rPr>
        <w:t xml:space="preserve"> </w:t>
      </w:r>
      <w:r w:rsidR="00AA30F4" w:rsidRPr="000C2492">
        <w:rPr>
          <w:rFonts w:ascii="Times New Roman" w:hAnsi="Times New Roman" w:cs="Times New Roman"/>
          <w:sz w:val="24"/>
          <w:szCs w:val="24"/>
        </w:rPr>
        <w:t>that</w:t>
      </w:r>
      <w:r w:rsidR="00F650A2">
        <w:rPr>
          <w:rFonts w:ascii="Times New Roman" w:hAnsi="Times New Roman" w:cs="Times New Roman"/>
          <w:sz w:val="24"/>
          <w:szCs w:val="24"/>
        </w:rPr>
        <w:t xml:space="preserve"> </w:t>
      </w:r>
      <w:r w:rsidR="00AA30F4" w:rsidRPr="000C2492">
        <w:rPr>
          <w:rFonts w:ascii="Times New Roman" w:hAnsi="Times New Roman" w:cs="Times New Roman"/>
          <w:sz w:val="24"/>
          <w:szCs w:val="24"/>
        </w:rPr>
        <w:t>the</w:t>
      </w:r>
      <w:r w:rsidR="00F650A2">
        <w:rPr>
          <w:rFonts w:ascii="Times New Roman" w:hAnsi="Times New Roman" w:cs="Times New Roman"/>
          <w:sz w:val="24"/>
          <w:szCs w:val="24"/>
        </w:rPr>
        <w:t xml:space="preserve"> </w:t>
      </w:r>
      <w:r w:rsidR="00AA30F4" w:rsidRPr="000C2492">
        <w:rPr>
          <w:rFonts w:ascii="Times New Roman" w:hAnsi="Times New Roman" w:cs="Times New Roman"/>
          <w:sz w:val="24"/>
          <w:szCs w:val="24"/>
        </w:rPr>
        <w:t>statement</w:t>
      </w:r>
      <w:r w:rsidR="00F650A2">
        <w:rPr>
          <w:rFonts w:ascii="Times New Roman" w:hAnsi="Times New Roman" w:cs="Times New Roman"/>
          <w:sz w:val="24"/>
          <w:szCs w:val="24"/>
        </w:rPr>
        <w:t xml:space="preserve"> </w:t>
      </w:r>
      <w:r w:rsidR="00AA30F4" w:rsidRPr="000C2492">
        <w:rPr>
          <w:rFonts w:ascii="Times New Roman" w:hAnsi="Times New Roman" w:cs="Times New Roman"/>
          <w:sz w:val="24"/>
          <w:szCs w:val="24"/>
        </w:rPr>
        <w:t>was</w:t>
      </w:r>
      <w:r w:rsidR="00F650A2">
        <w:rPr>
          <w:rFonts w:ascii="Times New Roman" w:hAnsi="Times New Roman" w:cs="Times New Roman"/>
          <w:sz w:val="24"/>
          <w:szCs w:val="24"/>
        </w:rPr>
        <w:t xml:space="preserve"> </w:t>
      </w:r>
      <w:r w:rsidR="00AA30F4" w:rsidRPr="000C2492">
        <w:rPr>
          <w:rFonts w:ascii="Times New Roman" w:hAnsi="Times New Roman" w:cs="Times New Roman"/>
          <w:sz w:val="24"/>
          <w:szCs w:val="24"/>
        </w:rPr>
        <w:t>in</w:t>
      </w:r>
      <w:r w:rsidR="00F650A2">
        <w:rPr>
          <w:rFonts w:ascii="Times New Roman" w:hAnsi="Times New Roman" w:cs="Times New Roman"/>
          <w:sz w:val="24"/>
          <w:szCs w:val="24"/>
        </w:rPr>
        <w:t xml:space="preserve"> </w:t>
      </w:r>
      <w:r w:rsidR="00AA30F4" w:rsidRPr="000C2492">
        <w:rPr>
          <w:rFonts w:ascii="Times New Roman" w:hAnsi="Times New Roman" w:cs="Times New Roman"/>
          <w:sz w:val="24"/>
          <w:szCs w:val="24"/>
        </w:rPr>
        <w:t>fact</w:t>
      </w:r>
      <w:r w:rsidR="00F650A2">
        <w:rPr>
          <w:rFonts w:ascii="Times New Roman" w:hAnsi="Times New Roman" w:cs="Times New Roman"/>
          <w:sz w:val="24"/>
          <w:szCs w:val="24"/>
        </w:rPr>
        <w:t xml:space="preserve"> </w:t>
      </w:r>
      <w:r w:rsidR="00AA30F4" w:rsidRPr="000C2492">
        <w:rPr>
          <w:rFonts w:ascii="Times New Roman" w:hAnsi="Times New Roman" w:cs="Times New Roman"/>
          <w:sz w:val="24"/>
          <w:szCs w:val="24"/>
        </w:rPr>
        <w:t>voluntarily</w:t>
      </w:r>
      <w:r w:rsidR="00F650A2">
        <w:rPr>
          <w:rFonts w:ascii="Times New Roman" w:hAnsi="Times New Roman" w:cs="Times New Roman"/>
          <w:sz w:val="24"/>
          <w:szCs w:val="24"/>
        </w:rPr>
        <w:t xml:space="preserve"> </w:t>
      </w:r>
      <w:r w:rsidR="00AA30F4" w:rsidRPr="000C2492">
        <w:rPr>
          <w:rFonts w:ascii="Times New Roman" w:hAnsi="Times New Roman" w:cs="Times New Roman"/>
          <w:sz w:val="24"/>
          <w:szCs w:val="24"/>
        </w:rPr>
        <w:t>made</w:t>
      </w:r>
      <w:r w:rsidR="00F650A2">
        <w:rPr>
          <w:rFonts w:ascii="Times New Roman" w:hAnsi="Times New Roman" w:cs="Times New Roman"/>
          <w:sz w:val="24"/>
          <w:szCs w:val="24"/>
        </w:rPr>
        <w:t xml:space="preserve"> </w:t>
      </w:r>
      <w:r w:rsidR="00AA30F4" w:rsidRPr="000C2492">
        <w:rPr>
          <w:rFonts w:ascii="Times New Roman" w:hAnsi="Times New Roman" w:cs="Times New Roman"/>
          <w:sz w:val="24"/>
          <w:szCs w:val="24"/>
        </w:rPr>
        <w:t>by</w:t>
      </w:r>
      <w:r w:rsidR="00F650A2">
        <w:rPr>
          <w:rFonts w:ascii="Times New Roman" w:hAnsi="Times New Roman" w:cs="Times New Roman"/>
          <w:sz w:val="24"/>
          <w:szCs w:val="24"/>
        </w:rPr>
        <w:t xml:space="preserve"> </w:t>
      </w:r>
      <w:r w:rsidR="00AA30F4" w:rsidRPr="000C2492">
        <w:rPr>
          <w:rFonts w:ascii="Times New Roman" w:hAnsi="Times New Roman" w:cs="Times New Roman"/>
          <w:sz w:val="24"/>
          <w:szCs w:val="24"/>
        </w:rPr>
        <w:t>the</w:t>
      </w:r>
      <w:r w:rsidR="00F650A2">
        <w:rPr>
          <w:rFonts w:ascii="Times New Roman" w:hAnsi="Times New Roman" w:cs="Times New Roman"/>
          <w:sz w:val="24"/>
          <w:szCs w:val="24"/>
        </w:rPr>
        <w:t xml:space="preserve"> </w:t>
      </w:r>
      <w:r w:rsidR="00AA30F4" w:rsidRPr="000C2492">
        <w:rPr>
          <w:rFonts w:ascii="Times New Roman" w:hAnsi="Times New Roman" w:cs="Times New Roman"/>
          <w:sz w:val="24"/>
          <w:szCs w:val="24"/>
        </w:rPr>
        <w:t>accused</w:t>
      </w:r>
      <w:r w:rsidR="00273A81">
        <w:rPr>
          <w:rFonts w:ascii="Times New Roman" w:hAnsi="Times New Roman" w:cs="Times New Roman"/>
          <w:sz w:val="24"/>
          <w:szCs w:val="24"/>
        </w:rPr>
        <w:t>,</w:t>
      </w:r>
      <w:r w:rsidR="00F650A2">
        <w:rPr>
          <w:rFonts w:ascii="Times New Roman" w:hAnsi="Times New Roman" w:cs="Times New Roman"/>
          <w:sz w:val="24"/>
          <w:szCs w:val="24"/>
        </w:rPr>
        <w:t xml:space="preserve"> </w:t>
      </w:r>
      <w:r w:rsidR="00AA30F4" w:rsidRPr="000C2492">
        <w:rPr>
          <w:rFonts w:ascii="Times New Roman" w:hAnsi="Times New Roman" w:cs="Times New Roman"/>
          <w:sz w:val="24"/>
          <w:szCs w:val="24"/>
        </w:rPr>
        <w:t>by</w:t>
      </w:r>
      <w:r w:rsidR="00F650A2">
        <w:rPr>
          <w:rFonts w:ascii="Times New Roman" w:hAnsi="Times New Roman" w:cs="Times New Roman"/>
          <w:sz w:val="24"/>
          <w:szCs w:val="24"/>
        </w:rPr>
        <w:t xml:space="preserve"> </w:t>
      </w:r>
      <w:r w:rsidR="00AA30F4" w:rsidRPr="000C2492">
        <w:rPr>
          <w:rFonts w:ascii="Times New Roman" w:hAnsi="Times New Roman" w:cs="Times New Roman"/>
          <w:sz w:val="24"/>
          <w:szCs w:val="24"/>
        </w:rPr>
        <w:t>removing</w:t>
      </w:r>
      <w:r w:rsidR="00F650A2">
        <w:rPr>
          <w:rFonts w:ascii="Times New Roman" w:hAnsi="Times New Roman" w:cs="Times New Roman"/>
          <w:sz w:val="24"/>
          <w:szCs w:val="24"/>
        </w:rPr>
        <w:t xml:space="preserve"> </w:t>
      </w:r>
      <w:r w:rsidR="00AA30F4" w:rsidRPr="000C2492">
        <w:rPr>
          <w:rFonts w:ascii="Times New Roman" w:hAnsi="Times New Roman" w:cs="Times New Roman"/>
          <w:sz w:val="24"/>
          <w:szCs w:val="24"/>
        </w:rPr>
        <w:t>any</w:t>
      </w:r>
      <w:r w:rsidR="00F650A2">
        <w:rPr>
          <w:rFonts w:ascii="Times New Roman" w:hAnsi="Times New Roman" w:cs="Times New Roman"/>
          <w:sz w:val="24"/>
          <w:szCs w:val="24"/>
        </w:rPr>
        <w:t xml:space="preserve"> </w:t>
      </w:r>
      <w:r w:rsidR="00AA30F4" w:rsidRPr="000C2492">
        <w:rPr>
          <w:rFonts w:ascii="Times New Roman" w:hAnsi="Times New Roman" w:cs="Times New Roman"/>
          <w:sz w:val="24"/>
          <w:szCs w:val="24"/>
        </w:rPr>
        <w:t>reasonable doubt as to the existence of any threat, inducement or promise.</w:t>
      </w:r>
      <w:r w:rsidR="00AA30F4" w:rsidRPr="000C2492">
        <w:rPr>
          <w:rFonts w:ascii="Times New Roman" w:hAnsi="Times New Roman" w:cs="Times New Roman"/>
          <w:sz w:val="24"/>
          <w:szCs w:val="24"/>
          <w:vertAlign w:val="superscript"/>
        </w:rPr>
        <w:footnoteReference w:id="58"/>
      </w:r>
      <w:r w:rsidRPr="000C2492">
        <w:rPr>
          <w:rFonts w:ascii="Times New Roman" w:hAnsi="Times New Roman" w:cs="Times New Roman"/>
          <w:sz w:val="24"/>
          <w:szCs w:val="24"/>
        </w:rPr>
        <w:t xml:space="preserve"> </w:t>
      </w:r>
      <w:r w:rsidR="0006057F">
        <w:rPr>
          <w:rFonts w:ascii="Times New Roman" w:hAnsi="Times New Roman" w:cs="Times New Roman"/>
          <w:sz w:val="24"/>
          <w:szCs w:val="24"/>
        </w:rPr>
        <w:t>I</w:t>
      </w:r>
      <w:r w:rsidR="008E549C" w:rsidRPr="000C2492">
        <w:rPr>
          <w:rFonts w:ascii="Times New Roman" w:hAnsi="Times New Roman" w:cs="Times New Roman"/>
          <w:sz w:val="24"/>
          <w:szCs w:val="24"/>
        </w:rPr>
        <w:t xml:space="preserve">n </w:t>
      </w:r>
      <w:r w:rsidR="008E549C" w:rsidRPr="00012509">
        <w:rPr>
          <w:rFonts w:ascii="Times New Roman" w:hAnsi="Times New Roman" w:cs="Times New Roman"/>
          <w:i/>
          <w:iCs/>
          <w:sz w:val="24"/>
          <w:szCs w:val="24"/>
        </w:rPr>
        <w:t xml:space="preserve">Public Prosecutor v Omar bin </w:t>
      </w:r>
      <w:proofErr w:type="spellStart"/>
      <w:r w:rsidR="008E549C" w:rsidRPr="00012509">
        <w:rPr>
          <w:rFonts w:ascii="Times New Roman" w:hAnsi="Times New Roman" w:cs="Times New Roman"/>
          <w:i/>
          <w:iCs/>
          <w:sz w:val="24"/>
          <w:szCs w:val="24"/>
        </w:rPr>
        <w:t>Yacob</w:t>
      </w:r>
      <w:proofErr w:type="spellEnd"/>
      <w:r w:rsidR="008E549C" w:rsidRPr="00012509">
        <w:rPr>
          <w:rFonts w:ascii="Times New Roman" w:hAnsi="Times New Roman" w:cs="Times New Roman"/>
          <w:i/>
          <w:iCs/>
          <w:sz w:val="24"/>
          <w:szCs w:val="24"/>
        </w:rPr>
        <w:t xml:space="preserve"> </w:t>
      </w:r>
      <w:proofErr w:type="spellStart"/>
      <w:r w:rsidR="008E549C" w:rsidRPr="00012509">
        <w:rPr>
          <w:rFonts w:ascii="Times New Roman" w:hAnsi="Times New Roman" w:cs="Times New Roman"/>
          <w:i/>
          <w:iCs/>
          <w:sz w:val="24"/>
          <w:szCs w:val="24"/>
        </w:rPr>
        <w:t>Bamadhaj</w:t>
      </w:r>
      <w:proofErr w:type="spellEnd"/>
      <w:r w:rsidRPr="000C2492">
        <w:rPr>
          <w:rFonts w:ascii="Times New Roman" w:hAnsi="Times New Roman" w:cs="Times New Roman"/>
          <w:sz w:val="24"/>
          <w:szCs w:val="24"/>
        </w:rPr>
        <w:t xml:space="preserve">, </w:t>
      </w:r>
      <w:r w:rsidR="008E549C" w:rsidRPr="000C2492">
        <w:rPr>
          <w:rFonts w:ascii="Times New Roman" w:hAnsi="Times New Roman" w:cs="Times New Roman"/>
          <w:sz w:val="24"/>
          <w:szCs w:val="24"/>
        </w:rPr>
        <w:t xml:space="preserve">the </w:t>
      </w:r>
      <w:r w:rsidR="00A84CA0">
        <w:rPr>
          <w:rFonts w:ascii="Times New Roman" w:hAnsi="Times New Roman" w:cs="Times New Roman"/>
          <w:sz w:val="24"/>
          <w:szCs w:val="24"/>
        </w:rPr>
        <w:t>P</w:t>
      </w:r>
      <w:r w:rsidR="008E549C" w:rsidRPr="000C2492">
        <w:rPr>
          <w:rFonts w:ascii="Times New Roman" w:hAnsi="Times New Roman" w:cs="Times New Roman"/>
          <w:sz w:val="24"/>
          <w:szCs w:val="24"/>
        </w:rPr>
        <w:t xml:space="preserve">rosecution was able to </w:t>
      </w:r>
      <w:r w:rsidR="00B82EC9">
        <w:rPr>
          <w:rFonts w:ascii="Times New Roman" w:hAnsi="Times New Roman" w:cs="Times New Roman"/>
          <w:sz w:val="24"/>
          <w:szCs w:val="24"/>
        </w:rPr>
        <w:t>remove such doubt</w:t>
      </w:r>
      <w:r w:rsidR="008E549C" w:rsidRPr="000C2492">
        <w:rPr>
          <w:rFonts w:ascii="Times New Roman" w:hAnsi="Times New Roman" w:cs="Times New Roman"/>
          <w:sz w:val="24"/>
          <w:szCs w:val="24"/>
        </w:rPr>
        <w:t xml:space="preserve"> </w:t>
      </w:r>
      <w:r w:rsidRPr="000C2492">
        <w:rPr>
          <w:rFonts w:ascii="Times New Roman" w:hAnsi="Times New Roman" w:cs="Times New Roman"/>
          <w:sz w:val="24"/>
          <w:szCs w:val="24"/>
        </w:rPr>
        <w:t xml:space="preserve">by proving that the sergeant </w:t>
      </w:r>
      <w:r w:rsidR="004C3B12">
        <w:rPr>
          <w:rFonts w:ascii="Times New Roman" w:hAnsi="Times New Roman" w:cs="Times New Roman"/>
          <w:sz w:val="24"/>
          <w:szCs w:val="24"/>
        </w:rPr>
        <w:t xml:space="preserve">who </w:t>
      </w:r>
      <w:r w:rsidRPr="000C2492">
        <w:rPr>
          <w:rFonts w:ascii="Times New Roman" w:hAnsi="Times New Roman" w:cs="Times New Roman"/>
          <w:sz w:val="24"/>
          <w:szCs w:val="24"/>
        </w:rPr>
        <w:t xml:space="preserve">recorded the </w:t>
      </w:r>
      <w:r w:rsidR="00A84CA0">
        <w:rPr>
          <w:rFonts w:ascii="Times New Roman" w:hAnsi="Times New Roman" w:cs="Times New Roman"/>
          <w:sz w:val="24"/>
          <w:szCs w:val="24"/>
        </w:rPr>
        <w:t xml:space="preserve">accused’s </w:t>
      </w:r>
      <w:r w:rsidRPr="000C2492">
        <w:rPr>
          <w:rFonts w:ascii="Times New Roman" w:hAnsi="Times New Roman" w:cs="Times New Roman"/>
          <w:sz w:val="24"/>
          <w:szCs w:val="24"/>
        </w:rPr>
        <w:t xml:space="preserve">statement had confirmed that the accused was fine and </w:t>
      </w:r>
      <w:r w:rsidR="00E545B1">
        <w:rPr>
          <w:rFonts w:ascii="Times New Roman" w:hAnsi="Times New Roman" w:cs="Times New Roman"/>
          <w:sz w:val="24"/>
          <w:szCs w:val="24"/>
        </w:rPr>
        <w:t xml:space="preserve">also </w:t>
      </w:r>
      <w:r w:rsidRPr="000C2492">
        <w:rPr>
          <w:rFonts w:ascii="Times New Roman" w:hAnsi="Times New Roman" w:cs="Times New Roman"/>
          <w:sz w:val="24"/>
          <w:szCs w:val="24"/>
        </w:rPr>
        <w:t>comfortable to give his statement in English</w:t>
      </w:r>
      <w:r w:rsidR="00686DE4">
        <w:rPr>
          <w:rFonts w:ascii="Times New Roman" w:hAnsi="Times New Roman" w:cs="Times New Roman"/>
          <w:sz w:val="24"/>
          <w:szCs w:val="24"/>
        </w:rPr>
        <w:t>.</w:t>
      </w:r>
      <w:r w:rsidR="00686DE4" w:rsidRPr="000C2492">
        <w:rPr>
          <w:rStyle w:val="FootnoteReference"/>
          <w:rFonts w:ascii="Times New Roman" w:hAnsi="Times New Roman" w:cs="Times New Roman"/>
          <w:sz w:val="24"/>
          <w:szCs w:val="24"/>
        </w:rPr>
        <w:footnoteReference w:id="59"/>
      </w:r>
      <w:r w:rsidRPr="000C2492">
        <w:rPr>
          <w:rFonts w:ascii="Times New Roman" w:hAnsi="Times New Roman" w:cs="Times New Roman"/>
          <w:sz w:val="24"/>
          <w:szCs w:val="24"/>
        </w:rPr>
        <w:t xml:space="preserve"> </w:t>
      </w:r>
      <w:r w:rsidR="00C71F9F">
        <w:rPr>
          <w:rFonts w:ascii="Times New Roman" w:hAnsi="Times New Roman" w:cs="Times New Roman"/>
          <w:sz w:val="24"/>
          <w:szCs w:val="24"/>
        </w:rPr>
        <w:t>T</w:t>
      </w:r>
      <w:r w:rsidR="00CB2634">
        <w:rPr>
          <w:rFonts w:ascii="Times New Roman" w:hAnsi="Times New Roman" w:cs="Times New Roman"/>
          <w:sz w:val="24"/>
          <w:szCs w:val="24"/>
        </w:rPr>
        <w:t xml:space="preserve">he sergeant’s testimony </w:t>
      </w:r>
      <w:r w:rsidRPr="000C2492">
        <w:rPr>
          <w:rFonts w:ascii="Times New Roman" w:hAnsi="Times New Roman" w:cs="Times New Roman"/>
          <w:sz w:val="24"/>
          <w:szCs w:val="24"/>
        </w:rPr>
        <w:t xml:space="preserve">was </w:t>
      </w:r>
      <w:r w:rsidR="00F358F8">
        <w:rPr>
          <w:rFonts w:ascii="Times New Roman" w:hAnsi="Times New Roman" w:cs="Times New Roman"/>
          <w:sz w:val="24"/>
          <w:szCs w:val="24"/>
        </w:rPr>
        <w:t xml:space="preserve">also </w:t>
      </w:r>
      <w:r w:rsidRPr="000C2492">
        <w:rPr>
          <w:rFonts w:ascii="Times New Roman" w:hAnsi="Times New Roman" w:cs="Times New Roman"/>
          <w:sz w:val="24"/>
          <w:szCs w:val="24"/>
        </w:rPr>
        <w:t xml:space="preserve">corroborated by </w:t>
      </w:r>
      <w:r w:rsidR="00B607E1">
        <w:rPr>
          <w:rFonts w:ascii="Times New Roman" w:hAnsi="Times New Roman" w:cs="Times New Roman"/>
          <w:sz w:val="24"/>
          <w:szCs w:val="24"/>
        </w:rPr>
        <w:t xml:space="preserve">the testimonies of </w:t>
      </w:r>
      <w:r w:rsidRPr="000C2492">
        <w:rPr>
          <w:rFonts w:ascii="Times New Roman" w:hAnsi="Times New Roman" w:cs="Times New Roman"/>
          <w:sz w:val="24"/>
          <w:szCs w:val="24"/>
        </w:rPr>
        <w:t>two other sergeants</w:t>
      </w:r>
      <w:r w:rsidR="00711244">
        <w:rPr>
          <w:rFonts w:ascii="Times New Roman" w:hAnsi="Times New Roman" w:cs="Times New Roman"/>
          <w:sz w:val="24"/>
          <w:szCs w:val="24"/>
        </w:rPr>
        <w:t>,</w:t>
      </w:r>
      <w:r w:rsidR="00724468">
        <w:rPr>
          <w:rFonts w:ascii="Times New Roman" w:hAnsi="Times New Roman" w:cs="Times New Roman"/>
          <w:sz w:val="24"/>
          <w:szCs w:val="24"/>
        </w:rPr>
        <w:t xml:space="preserve"> who were present </w:t>
      </w:r>
      <w:r w:rsidR="003D7502">
        <w:rPr>
          <w:rFonts w:ascii="Times New Roman" w:hAnsi="Times New Roman" w:cs="Times New Roman"/>
          <w:sz w:val="24"/>
          <w:szCs w:val="24"/>
        </w:rPr>
        <w:t>at the time (and</w:t>
      </w:r>
      <w:r w:rsidR="00711244">
        <w:rPr>
          <w:rFonts w:ascii="Times New Roman" w:hAnsi="Times New Roman" w:cs="Times New Roman"/>
          <w:sz w:val="24"/>
          <w:szCs w:val="24"/>
        </w:rPr>
        <w:t xml:space="preserve"> also made similar</w:t>
      </w:r>
      <w:r w:rsidR="00DC1306">
        <w:rPr>
          <w:rFonts w:ascii="Times New Roman" w:hAnsi="Times New Roman" w:cs="Times New Roman"/>
          <w:sz w:val="24"/>
          <w:szCs w:val="24"/>
        </w:rPr>
        <w:t xml:space="preserve"> entries in their station diaries</w:t>
      </w:r>
      <w:r w:rsidR="003D7502">
        <w:rPr>
          <w:rFonts w:ascii="Times New Roman" w:hAnsi="Times New Roman" w:cs="Times New Roman"/>
          <w:sz w:val="24"/>
          <w:szCs w:val="24"/>
        </w:rPr>
        <w:t>)</w:t>
      </w:r>
      <w:r w:rsidRPr="000C2492">
        <w:rPr>
          <w:rFonts w:ascii="Times New Roman" w:hAnsi="Times New Roman" w:cs="Times New Roman"/>
          <w:sz w:val="24"/>
          <w:szCs w:val="24"/>
        </w:rPr>
        <w:t>.</w:t>
      </w:r>
      <w:r w:rsidRPr="000C2492">
        <w:rPr>
          <w:rStyle w:val="FootnoteReference"/>
          <w:rFonts w:ascii="Times New Roman" w:hAnsi="Times New Roman" w:cs="Times New Roman"/>
          <w:sz w:val="24"/>
          <w:szCs w:val="24"/>
        </w:rPr>
        <w:footnoteReference w:id="60"/>
      </w:r>
    </w:p>
    <w:p w14:paraId="687A859D" w14:textId="77777777" w:rsidR="00DF49B4" w:rsidRPr="000C2492" w:rsidRDefault="00DF49B4" w:rsidP="000C2492">
      <w:pPr>
        <w:jc w:val="both"/>
        <w:rPr>
          <w:rFonts w:ascii="Times New Roman" w:hAnsi="Times New Roman" w:cs="Times New Roman"/>
          <w:sz w:val="24"/>
          <w:szCs w:val="24"/>
        </w:rPr>
      </w:pPr>
    </w:p>
    <w:p w14:paraId="515D1A4A" w14:textId="02BD2F73" w:rsidR="001A3406" w:rsidRPr="000C2492" w:rsidRDefault="00084F65" w:rsidP="000C2492">
      <w:pPr>
        <w:jc w:val="both"/>
        <w:rPr>
          <w:rFonts w:ascii="Times New Roman" w:hAnsi="Times New Roman" w:cs="Times New Roman"/>
          <w:sz w:val="24"/>
          <w:szCs w:val="24"/>
        </w:rPr>
      </w:pPr>
      <w:r>
        <w:rPr>
          <w:rFonts w:ascii="Times New Roman" w:hAnsi="Times New Roman" w:cs="Times New Roman"/>
          <w:sz w:val="24"/>
          <w:szCs w:val="24"/>
        </w:rPr>
        <w:t>Regarding</w:t>
      </w:r>
      <w:r w:rsidR="00B7704F" w:rsidRPr="000C2492">
        <w:rPr>
          <w:rFonts w:ascii="Times New Roman" w:hAnsi="Times New Roman" w:cs="Times New Roman"/>
          <w:sz w:val="24"/>
          <w:szCs w:val="24"/>
        </w:rPr>
        <w:t xml:space="preserve"> challenge</w:t>
      </w:r>
      <w:r>
        <w:rPr>
          <w:rFonts w:ascii="Times New Roman" w:hAnsi="Times New Roman" w:cs="Times New Roman"/>
          <w:sz w:val="24"/>
          <w:szCs w:val="24"/>
        </w:rPr>
        <w:t>s</w:t>
      </w:r>
      <w:r w:rsidR="00B7704F" w:rsidRPr="000C2492">
        <w:rPr>
          <w:rFonts w:ascii="Times New Roman" w:hAnsi="Times New Roman" w:cs="Times New Roman"/>
          <w:sz w:val="24"/>
          <w:szCs w:val="24"/>
        </w:rPr>
        <w:t xml:space="preserve"> on </w:t>
      </w:r>
      <w:r w:rsidR="00C66D5A">
        <w:rPr>
          <w:rFonts w:ascii="Times New Roman" w:hAnsi="Times New Roman" w:cs="Times New Roman"/>
          <w:sz w:val="24"/>
          <w:szCs w:val="24"/>
        </w:rPr>
        <w:t>procedural</w:t>
      </w:r>
      <w:r w:rsidR="00B7704F" w:rsidRPr="000C2492">
        <w:rPr>
          <w:rFonts w:ascii="Times New Roman" w:hAnsi="Times New Roman" w:cs="Times New Roman"/>
          <w:sz w:val="24"/>
          <w:szCs w:val="24"/>
        </w:rPr>
        <w:t xml:space="preserve"> grounds</w:t>
      </w:r>
      <w:r w:rsidR="00860745">
        <w:rPr>
          <w:rFonts w:ascii="Times New Roman" w:hAnsi="Times New Roman" w:cs="Times New Roman"/>
          <w:sz w:val="24"/>
          <w:szCs w:val="24"/>
        </w:rPr>
        <w:t>:</w:t>
      </w:r>
      <w:r>
        <w:rPr>
          <w:rFonts w:ascii="Times New Roman" w:hAnsi="Times New Roman" w:cs="Times New Roman"/>
          <w:sz w:val="24"/>
          <w:szCs w:val="24"/>
        </w:rPr>
        <w:t xml:space="preserve"> e</w:t>
      </w:r>
      <w:r w:rsidR="003E0FF3" w:rsidRPr="000C2492">
        <w:rPr>
          <w:rFonts w:ascii="Times New Roman" w:hAnsi="Times New Roman" w:cs="Times New Roman"/>
          <w:sz w:val="24"/>
          <w:szCs w:val="24"/>
        </w:rPr>
        <w:t xml:space="preserve">ven though it is not </w:t>
      </w:r>
      <w:r w:rsidR="00163125">
        <w:rPr>
          <w:rFonts w:ascii="Times New Roman" w:hAnsi="Times New Roman" w:cs="Times New Roman"/>
          <w:sz w:val="24"/>
          <w:szCs w:val="24"/>
        </w:rPr>
        <w:t>stated</w:t>
      </w:r>
      <w:r w:rsidR="00163125" w:rsidRPr="000C2492">
        <w:rPr>
          <w:rFonts w:ascii="Times New Roman" w:hAnsi="Times New Roman" w:cs="Times New Roman"/>
          <w:sz w:val="24"/>
          <w:szCs w:val="24"/>
        </w:rPr>
        <w:t xml:space="preserve"> </w:t>
      </w:r>
      <w:r w:rsidR="00163125">
        <w:rPr>
          <w:rFonts w:ascii="Times New Roman" w:hAnsi="Times New Roman" w:cs="Times New Roman"/>
          <w:sz w:val="24"/>
          <w:szCs w:val="24"/>
        </w:rPr>
        <w:t xml:space="preserve">in the CPC </w:t>
      </w:r>
      <w:r w:rsidR="003E0FF3" w:rsidRPr="000C2492">
        <w:rPr>
          <w:rFonts w:ascii="Times New Roman" w:hAnsi="Times New Roman" w:cs="Times New Roman"/>
          <w:sz w:val="24"/>
          <w:szCs w:val="24"/>
        </w:rPr>
        <w:t xml:space="preserve">that a court may exclude voluntary statements on procedural grounds, this is possible because the court retains a general common law discretion to exclude voluntary statements if it deems that the prejudicial effect </w:t>
      </w:r>
      <w:r w:rsidR="002052A3">
        <w:rPr>
          <w:rFonts w:ascii="Times New Roman" w:hAnsi="Times New Roman" w:cs="Times New Roman"/>
          <w:sz w:val="24"/>
          <w:szCs w:val="24"/>
        </w:rPr>
        <w:t xml:space="preserve">of such statements </w:t>
      </w:r>
      <w:r w:rsidR="003E0FF3" w:rsidRPr="000C2492">
        <w:rPr>
          <w:rFonts w:ascii="Times New Roman" w:hAnsi="Times New Roman" w:cs="Times New Roman"/>
          <w:sz w:val="24"/>
          <w:szCs w:val="24"/>
        </w:rPr>
        <w:t>exceeds its probative value.</w:t>
      </w:r>
      <w:r w:rsidR="003E0FF3" w:rsidRPr="000C2492">
        <w:rPr>
          <w:rFonts w:ascii="Times New Roman" w:hAnsi="Times New Roman" w:cs="Times New Roman"/>
          <w:sz w:val="24"/>
          <w:szCs w:val="24"/>
          <w:vertAlign w:val="superscript"/>
        </w:rPr>
        <w:footnoteReference w:id="61"/>
      </w:r>
      <w:r w:rsidR="003E0FF3" w:rsidRPr="000C2492">
        <w:rPr>
          <w:rFonts w:ascii="Times New Roman" w:hAnsi="Times New Roman" w:cs="Times New Roman"/>
          <w:sz w:val="24"/>
          <w:szCs w:val="24"/>
        </w:rPr>
        <w:t xml:space="preserve"> </w:t>
      </w:r>
      <w:r w:rsidR="00C30062">
        <w:rPr>
          <w:rFonts w:ascii="Times New Roman" w:hAnsi="Times New Roman" w:cs="Times New Roman"/>
          <w:sz w:val="24"/>
          <w:szCs w:val="24"/>
        </w:rPr>
        <w:t>F</w:t>
      </w:r>
      <w:r w:rsidR="00E17EC8" w:rsidRPr="000C2492">
        <w:rPr>
          <w:rFonts w:ascii="Times New Roman" w:hAnsi="Times New Roman" w:cs="Times New Roman"/>
          <w:sz w:val="24"/>
          <w:szCs w:val="24"/>
        </w:rPr>
        <w:t>or a successful challenge on procedural grounds, the accused must show that there are serious concerns with</w:t>
      </w:r>
      <w:r w:rsidR="006D3B96">
        <w:rPr>
          <w:rFonts w:ascii="Times New Roman" w:hAnsi="Times New Roman" w:cs="Times New Roman"/>
          <w:sz w:val="24"/>
          <w:szCs w:val="24"/>
        </w:rPr>
        <w:t xml:space="preserve"> the</w:t>
      </w:r>
      <w:r w:rsidR="00E17EC8" w:rsidRPr="000C2492">
        <w:rPr>
          <w:rFonts w:ascii="Times New Roman" w:hAnsi="Times New Roman" w:cs="Times New Roman"/>
          <w:sz w:val="24"/>
          <w:szCs w:val="24"/>
        </w:rPr>
        <w:t xml:space="preserve"> reliability </w:t>
      </w:r>
      <w:r w:rsidR="006D3B96">
        <w:rPr>
          <w:rFonts w:ascii="Times New Roman" w:hAnsi="Times New Roman" w:cs="Times New Roman"/>
          <w:sz w:val="24"/>
          <w:szCs w:val="24"/>
        </w:rPr>
        <w:t xml:space="preserve">of the statement, as well as </w:t>
      </w:r>
      <w:r w:rsidR="006A0FAD">
        <w:rPr>
          <w:rFonts w:ascii="Times New Roman" w:hAnsi="Times New Roman" w:cs="Times New Roman"/>
          <w:sz w:val="24"/>
          <w:szCs w:val="24"/>
        </w:rPr>
        <w:t xml:space="preserve">prove that </w:t>
      </w:r>
      <w:r w:rsidR="00E17EC8" w:rsidRPr="000C2492">
        <w:rPr>
          <w:rFonts w:ascii="Times New Roman" w:hAnsi="Times New Roman" w:cs="Times New Roman"/>
          <w:sz w:val="24"/>
          <w:szCs w:val="24"/>
        </w:rPr>
        <w:t xml:space="preserve">the prejudice that might be caused </w:t>
      </w:r>
      <w:r w:rsidR="003830D2" w:rsidRPr="000C2492">
        <w:rPr>
          <w:rFonts w:ascii="Times New Roman" w:hAnsi="Times New Roman" w:cs="Times New Roman"/>
          <w:sz w:val="24"/>
          <w:szCs w:val="24"/>
        </w:rPr>
        <w:t xml:space="preserve">by admitting the statement </w:t>
      </w:r>
      <w:r w:rsidR="00E17EC8" w:rsidRPr="000C2492">
        <w:rPr>
          <w:rFonts w:ascii="Times New Roman" w:hAnsi="Times New Roman" w:cs="Times New Roman"/>
          <w:sz w:val="24"/>
          <w:szCs w:val="24"/>
        </w:rPr>
        <w:t>significantly outweighs the probative value</w:t>
      </w:r>
      <w:r w:rsidR="00AE6B92">
        <w:rPr>
          <w:rFonts w:ascii="Times New Roman" w:hAnsi="Times New Roman" w:cs="Times New Roman"/>
          <w:sz w:val="24"/>
          <w:szCs w:val="24"/>
        </w:rPr>
        <w:t xml:space="preserve"> of such statemen</w:t>
      </w:r>
      <w:r w:rsidR="00E016ED">
        <w:rPr>
          <w:rFonts w:ascii="Times New Roman" w:hAnsi="Times New Roman" w:cs="Times New Roman"/>
          <w:sz w:val="24"/>
          <w:szCs w:val="24"/>
        </w:rPr>
        <w:t>t</w:t>
      </w:r>
      <w:r w:rsidR="00E17EC8" w:rsidRPr="000C2492">
        <w:rPr>
          <w:rFonts w:ascii="Times New Roman" w:hAnsi="Times New Roman" w:cs="Times New Roman"/>
          <w:sz w:val="24"/>
          <w:szCs w:val="24"/>
        </w:rPr>
        <w:t>.</w:t>
      </w:r>
      <w:r w:rsidR="00E17EC8" w:rsidRPr="000C2492">
        <w:rPr>
          <w:rFonts w:ascii="Times New Roman" w:hAnsi="Times New Roman" w:cs="Times New Roman"/>
          <w:sz w:val="24"/>
          <w:szCs w:val="24"/>
          <w:vertAlign w:val="superscript"/>
        </w:rPr>
        <w:footnoteReference w:id="62"/>
      </w:r>
    </w:p>
    <w:p w14:paraId="3EF9DE4F" w14:textId="77777777" w:rsidR="001A3406" w:rsidRPr="000C2492" w:rsidRDefault="001A3406" w:rsidP="000C2492">
      <w:pPr>
        <w:jc w:val="both"/>
        <w:rPr>
          <w:rFonts w:ascii="Times New Roman" w:hAnsi="Times New Roman" w:cs="Times New Roman"/>
          <w:sz w:val="24"/>
          <w:szCs w:val="24"/>
        </w:rPr>
      </w:pPr>
    </w:p>
    <w:p w14:paraId="4C891376" w14:textId="188CA925" w:rsidR="00BE7974" w:rsidRDefault="001A3406" w:rsidP="00BE7974">
      <w:pPr>
        <w:jc w:val="both"/>
        <w:rPr>
          <w:rFonts w:ascii="Times New Roman" w:hAnsi="Times New Roman" w:cs="Times New Roman"/>
          <w:sz w:val="24"/>
          <w:szCs w:val="24"/>
        </w:rPr>
      </w:pPr>
      <w:r w:rsidRPr="000C2492">
        <w:rPr>
          <w:rFonts w:ascii="Times New Roman" w:hAnsi="Times New Roman" w:cs="Times New Roman"/>
          <w:sz w:val="24"/>
          <w:szCs w:val="24"/>
        </w:rPr>
        <w:t xml:space="preserve">One example where the court has excluded a statement </w:t>
      </w:r>
      <w:r w:rsidR="001664DA">
        <w:rPr>
          <w:rFonts w:ascii="Times New Roman" w:hAnsi="Times New Roman" w:cs="Times New Roman"/>
          <w:sz w:val="24"/>
          <w:szCs w:val="24"/>
        </w:rPr>
        <w:t xml:space="preserve">on procedural grounds </w:t>
      </w:r>
      <w:r w:rsidRPr="000C2492">
        <w:rPr>
          <w:rFonts w:ascii="Times New Roman" w:hAnsi="Times New Roman" w:cs="Times New Roman"/>
          <w:sz w:val="24"/>
          <w:szCs w:val="24"/>
        </w:rPr>
        <w:t xml:space="preserve">would be </w:t>
      </w:r>
      <w:r w:rsidR="00BE7974">
        <w:rPr>
          <w:rFonts w:ascii="Times New Roman" w:hAnsi="Times New Roman" w:cs="Times New Roman"/>
          <w:sz w:val="24"/>
          <w:szCs w:val="24"/>
        </w:rPr>
        <w:t>i</w:t>
      </w:r>
      <w:r w:rsidR="00BE7974" w:rsidRPr="000C2492">
        <w:rPr>
          <w:rFonts w:ascii="Times New Roman" w:hAnsi="Times New Roman" w:cs="Times New Roman"/>
          <w:sz w:val="24"/>
          <w:szCs w:val="24"/>
        </w:rPr>
        <w:t xml:space="preserve">n </w:t>
      </w:r>
      <w:r w:rsidR="00BE7974" w:rsidRPr="000C2492">
        <w:rPr>
          <w:rFonts w:ascii="Times New Roman" w:hAnsi="Times New Roman" w:cs="Times New Roman"/>
          <w:i/>
          <w:iCs/>
          <w:sz w:val="24"/>
          <w:szCs w:val="24"/>
        </w:rPr>
        <w:t>Muhammad bin Kadar v PP</w:t>
      </w:r>
      <w:r w:rsidR="00BE7974" w:rsidRPr="00F8113A">
        <w:rPr>
          <w:rFonts w:ascii="Times New Roman" w:hAnsi="Times New Roman" w:cs="Times New Roman"/>
          <w:sz w:val="24"/>
          <w:szCs w:val="24"/>
        </w:rPr>
        <w:t xml:space="preserve"> </w:t>
      </w:r>
      <w:r w:rsidR="00BE7974">
        <w:rPr>
          <w:rFonts w:ascii="Times New Roman" w:hAnsi="Times New Roman" w:cs="Times New Roman"/>
          <w:sz w:val="24"/>
          <w:szCs w:val="24"/>
        </w:rPr>
        <w:t>(“</w:t>
      </w:r>
      <w:r w:rsidR="00BE7974">
        <w:rPr>
          <w:rFonts w:ascii="Times New Roman" w:hAnsi="Times New Roman" w:cs="Times New Roman"/>
          <w:i/>
          <w:iCs/>
          <w:sz w:val="24"/>
          <w:szCs w:val="24"/>
        </w:rPr>
        <w:t>Kadar</w:t>
      </w:r>
      <w:r w:rsidR="00BE7974">
        <w:rPr>
          <w:rFonts w:ascii="Times New Roman" w:hAnsi="Times New Roman" w:cs="Times New Roman"/>
          <w:sz w:val="24"/>
          <w:szCs w:val="24"/>
        </w:rPr>
        <w:t>”)</w:t>
      </w:r>
      <w:r w:rsidR="00BE7974">
        <w:rPr>
          <w:rFonts w:ascii="Times New Roman" w:hAnsi="Times New Roman" w:cs="Times New Roman"/>
          <w:i/>
          <w:iCs/>
          <w:sz w:val="24"/>
          <w:szCs w:val="24"/>
        </w:rPr>
        <w:t xml:space="preserve">. </w:t>
      </w:r>
      <w:r w:rsidR="00BE7974">
        <w:rPr>
          <w:rFonts w:ascii="Times New Roman" w:hAnsi="Times New Roman" w:cs="Times New Roman"/>
          <w:sz w:val="24"/>
          <w:szCs w:val="24"/>
        </w:rPr>
        <w:t xml:space="preserve">In </w:t>
      </w:r>
      <w:r w:rsidR="00BE7974" w:rsidRPr="00F8113A">
        <w:rPr>
          <w:rFonts w:ascii="Times New Roman" w:hAnsi="Times New Roman" w:cs="Times New Roman"/>
          <w:i/>
          <w:iCs/>
          <w:sz w:val="24"/>
          <w:szCs w:val="24"/>
        </w:rPr>
        <w:t>Kadar</w:t>
      </w:r>
      <w:r w:rsidR="00BE7974">
        <w:rPr>
          <w:rFonts w:ascii="Times New Roman" w:hAnsi="Times New Roman" w:cs="Times New Roman"/>
          <w:sz w:val="24"/>
          <w:szCs w:val="24"/>
        </w:rPr>
        <w:t xml:space="preserve">, </w:t>
      </w:r>
      <w:r w:rsidR="00BE7974" w:rsidRPr="000C2492">
        <w:rPr>
          <w:rFonts w:ascii="Times New Roman" w:hAnsi="Times New Roman" w:cs="Times New Roman"/>
          <w:sz w:val="24"/>
          <w:szCs w:val="24"/>
        </w:rPr>
        <w:t>it was clear that the accused</w:t>
      </w:r>
      <w:r w:rsidR="00BE7974">
        <w:rPr>
          <w:rFonts w:ascii="Times New Roman" w:hAnsi="Times New Roman" w:cs="Times New Roman"/>
          <w:sz w:val="24"/>
          <w:szCs w:val="24"/>
        </w:rPr>
        <w:t>, who was undergoing a police interrogation,</w:t>
      </w:r>
      <w:r w:rsidR="00BE7974" w:rsidRPr="000C2492">
        <w:rPr>
          <w:rFonts w:ascii="Times New Roman" w:hAnsi="Times New Roman" w:cs="Times New Roman"/>
          <w:sz w:val="24"/>
          <w:szCs w:val="24"/>
        </w:rPr>
        <w:t xml:space="preserve"> had an addiction and was suffering from drug withdrawal </w:t>
      </w:r>
      <w:r w:rsidR="00BE7974" w:rsidRPr="000C2492">
        <w:rPr>
          <w:rFonts w:ascii="Times New Roman" w:hAnsi="Times New Roman" w:cs="Times New Roman"/>
          <w:sz w:val="24"/>
          <w:szCs w:val="24"/>
        </w:rPr>
        <w:lastRenderedPageBreak/>
        <w:t>symptoms at the time</w:t>
      </w:r>
      <w:r w:rsidR="00BE7974">
        <w:rPr>
          <w:rFonts w:ascii="Times New Roman" w:hAnsi="Times New Roman" w:cs="Times New Roman"/>
          <w:sz w:val="24"/>
          <w:szCs w:val="24"/>
        </w:rPr>
        <w:t>.</w:t>
      </w:r>
      <w:r w:rsidR="00BE7974" w:rsidRPr="000C2492">
        <w:rPr>
          <w:rFonts w:ascii="Times New Roman" w:hAnsi="Times New Roman" w:cs="Times New Roman"/>
          <w:sz w:val="24"/>
          <w:szCs w:val="24"/>
          <w:vertAlign w:val="superscript"/>
        </w:rPr>
        <w:footnoteReference w:id="63"/>
      </w:r>
      <w:r w:rsidR="00BE7974">
        <w:rPr>
          <w:rFonts w:ascii="Times New Roman" w:hAnsi="Times New Roman" w:cs="Times New Roman"/>
          <w:sz w:val="24"/>
          <w:szCs w:val="24"/>
        </w:rPr>
        <w:t xml:space="preserve"> This </w:t>
      </w:r>
      <w:r w:rsidR="00BE7974" w:rsidRPr="000C2492">
        <w:rPr>
          <w:rFonts w:ascii="Times New Roman" w:hAnsi="Times New Roman" w:cs="Times New Roman"/>
          <w:sz w:val="24"/>
          <w:szCs w:val="24"/>
        </w:rPr>
        <w:t>caused him to be in a state of confusion and become unable to cope with the stress of the interrogation.</w:t>
      </w:r>
      <w:r w:rsidR="00BE7974" w:rsidRPr="000C2492">
        <w:rPr>
          <w:rFonts w:ascii="Times New Roman" w:hAnsi="Times New Roman" w:cs="Times New Roman"/>
          <w:sz w:val="24"/>
          <w:szCs w:val="24"/>
          <w:vertAlign w:val="superscript"/>
        </w:rPr>
        <w:footnoteReference w:id="64"/>
      </w:r>
      <w:r w:rsidR="00BE7974" w:rsidRPr="000C2492">
        <w:rPr>
          <w:rFonts w:ascii="Times New Roman" w:hAnsi="Times New Roman" w:cs="Times New Roman"/>
          <w:sz w:val="24"/>
          <w:szCs w:val="24"/>
        </w:rPr>
        <w:t xml:space="preserve"> This was further supported by independent evidence of his tired appearance and slurred conduct.</w:t>
      </w:r>
      <w:r w:rsidR="00BE7974" w:rsidRPr="000C2492">
        <w:rPr>
          <w:rFonts w:ascii="Times New Roman" w:hAnsi="Times New Roman" w:cs="Times New Roman"/>
          <w:sz w:val="24"/>
          <w:szCs w:val="24"/>
          <w:vertAlign w:val="superscript"/>
        </w:rPr>
        <w:footnoteReference w:id="65"/>
      </w:r>
      <w:r w:rsidR="00BE7974" w:rsidRPr="000C2492">
        <w:rPr>
          <w:rFonts w:ascii="Times New Roman" w:hAnsi="Times New Roman" w:cs="Times New Roman"/>
          <w:sz w:val="24"/>
          <w:szCs w:val="24"/>
        </w:rPr>
        <w:t xml:space="preserve"> The court thus held that </w:t>
      </w:r>
      <w:r w:rsidR="00BE7974">
        <w:rPr>
          <w:rFonts w:ascii="Times New Roman" w:hAnsi="Times New Roman" w:cs="Times New Roman"/>
          <w:sz w:val="24"/>
          <w:szCs w:val="24"/>
        </w:rPr>
        <w:t>his statements were inadmissible since the procedural defects caused the statements’ prejudicial effect to exceed their probative value.</w:t>
      </w:r>
      <w:r w:rsidR="00BE7974">
        <w:rPr>
          <w:rStyle w:val="FootnoteReference"/>
          <w:rFonts w:ascii="Times New Roman" w:hAnsi="Times New Roman" w:cs="Times New Roman"/>
          <w:sz w:val="24"/>
          <w:szCs w:val="24"/>
        </w:rPr>
        <w:footnoteReference w:id="66"/>
      </w:r>
    </w:p>
    <w:p w14:paraId="740EA19D" w14:textId="41BC6537" w:rsidR="0061097B" w:rsidRDefault="0061097B" w:rsidP="000C2492">
      <w:pPr>
        <w:jc w:val="both"/>
        <w:rPr>
          <w:rFonts w:ascii="Times New Roman" w:hAnsi="Times New Roman" w:cs="Times New Roman"/>
          <w:sz w:val="24"/>
          <w:szCs w:val="24"/>
        </w:rPr>
      </w:pPr>
    </w:p>
    <w:p w14:paraId="21031565" w14:textId="30675808" w:rsidR="00523942" w:rsidRDefault="00836C8C" w:rsidP="00523942">
      <w:pPr>
        <w:jc w:val="both"/>
        <w:rPr>
          <w:rFonts w:ascii="Times New Roman" w:hAnsi="Times New Roman" w:cs="Times New Roman"/>
          <w:sz w:val="24"/>
          <w:szCs w:val="24"/>
        </w:rPr>
      </w:pPr>
      <w:r w:rsidRPr="000C2492">
        <w:rPr>
          <w:rFonts w:ascii="Times New Roman" w:hAnsi="Times New Roman" w:cs="Times New Roman"/>
          <w:sz w:val="24"/>
          <w:szCs w:val="24"/>
        </w:rPr>
        <w:t xml:space="preserve">If the accused wishes to challenge the admissibility of any statement </w:t>
      </w:r>
      <w:r w:rsidR="0049162A">
        <w:rPr>
          <w:rFonts w:ascii="Times New Roman" w:hAnsi="Times New Roman" w:cs="Times New Roman"/>
          <w:sz w:val="24"/>
          <w:szCs w:val="24"/>
        </w:rPr>
        <w:t>(</w:t>
      </w:r>
      <w:r w:rsidRPr="000C2492">
        <w:rPr>
          <w:rFonts w:ascii="Times New Roman" w:hAnsi="Times New Roman" w:cs="Times New Roman"/>
          <w:sz w:val="24"/>
          <w:szCs w:val="24"/>
        </w:rPr>
        <w:t>under s</w:t>
      </w:r>
      <w:r w:rsidR="0038449B">
        <w:rPr>
          <w:rFonts w:ascii="Times New Roman" w:hAnsi="Times New Roman" w:cs="Times New Roman"/>
          <w:sz w:val="24"/>
          <w:szCs w:val="24"/>
        </w:rPr>
        <w:t>ections</w:t>
      </w:r>
      <w:r w:rsidRPr="000C2492">
        <w:rPr>
          <w:rFonts w:ascii="Times New Roman" w:hAnsi="Times New Roman" w:cs="Times New Roman"/>
          <w:sz w:val="24"/>
          <w:szCs w:val="24"/>
        </w:rPr>
        <w:t xml:space="preserve"> 22 or 23</w:t>
      </w:r>
      <w:r w:rsidR="0049162A">
        <w:rPr>
          <w:rFonts w:ascii="Times New Roman" w:hAnsi="Times New Roman" w:cs="Times New Roman"/>
          <w:sz w:val="24"/>
          <w:szCs w:val="24"/>
        </w:rPr>
        <w:t>)</w:t>
      </w:r>
      <w:r w:rsidRPr="000C2492">
        <w:rPr>
          <w:rFonts w:ascii="Times New Roman" w:hAnsi="Times New Roman" w:cs="Times New Roman"/>
          <w:sz w:val="24"/>
          <w:szCs w:val="24"/>
        </w:rPr>
        <w:t>,</w:t>
      </w:r>
      <w:r w:rsidR="001164CC">
        <w:rPr>
          <w:rStyle w:val="FootnoteReference"/>
          <w:rFonts w:ascii="Times New Roman" w:hAnsi="Times New Roman" w:cs="Times New Roman"/>
          <w:sz w:val="24"/>
          <w:szCs w:val="24"/>
        </w:rPr>
        <w:footnoteReference w:id="67"/>
      </w:r>
      <w:r w:rsidRPr="000C2492">
        <w:rPr>
          <w:rFonts w:ascii="Times New Roman" w:hAnsi="Times New Roman" w:cs="Times New Roman"/>
          <w:sz w:val="24"/>
          <w:szCs w:val="24"/>
        </w:rPr>
        <w:t xml:space="preserve"> courts must conduct an ancillary hearing</w:t>
      </w:r>
      <w:r w:rsidR="004F49BB">
        <w:rPr>
          <w:rStyle w:val="FootnoteReference"/>
          <w:rFonts w:ascii="Times New Roman" w:hAnsi="Times New Roman" w:cs="Times New Roman"/>
          <w:sz w:val="24"/>
          <w:szCs w:val="24"/>
        </w:rPr>
        <w:footnoteReference w:id="68"/>
      </w:r>
      <w:r w:rsidRPr="000C2492">
        <w:rPr>
          <w:rFonts w:ascii="Times New Roman" w:hAnsi="Times New Roman" w:cs="Times New Roman"/>
          <w:sz w:val="24"/>
          <w:szCs w:val="24"/>
        </w:rPr>
        <w:t xml:space="preserve"> to determine its admissibility.</w:t>
      </w:r>
      <w:r w:rsidRPr="000C2492">
        <w:rPr>
          <w:rFonts w:ascii="Times New Roman" w:hAnsi="Times New Roman" w:cs="Times New Roman"/>
          <w:sz w:val="24"/>
          <w:szCs w:val="24"/>
          <w:vertAlign w:val="superscript"/>
        </w:rPr>
        <w:footnoteReference w:id="69"/>
      </w:r>
      <w:r w:rsidRPr="000C2492">
        <w:rPr>
          <w:rFonts w:ascii="Times New Roman" w:hAnsi="Times New Roman" w:cs="Times New Roman"/>
          <w:sz w:val="24"/>
          <w:szCs w:val="24"/>
        </w:rPr>
        <w:t xml:space="preserve"> This allows an accused to step into the witness box and give evidence </w:t>
      </w:r>
      <w:r w:rsidR="00EF276C">
        <w:rPr>
          <w:rFonts w:ascii="Times New Roman" w:hAnsi="Times New Roman" w:cs="Times New Roman"/>
          <w:sz w:val="24"/>
          <w:szCs w:val="24"/>
        </w:rPr>
        <w:t>under</w:t>
      </w:r>
      <w:r w:rsidR="00EF276C" w:rsidRPr="000C2492">
        <w:rPr>
          <w:rFonts w:ascii="Times New Roman" w:hAnsi="Times New Roman" w:cs="Times New Roman"/>
          <w:sz w:val="24"/>
          <w:szCs w:val="24"/>
        </w:rPr>
        <w:t xml:space="preserve"> </w:t>
      </w:r>
      <w:r w:rsidRPr="000C2492">
        <w:rPr>
          <w:rFonts w:ascii="Times New Roman" w:hAnsi="Times New Roman" w:cs="Times New Roman"/>
          <w:sz w:val="24"/>
          <w:szCs w:val="24"/>
        </w:rPr>
        <w:t>oath to contest the admissibility of statements that he alleges to be involuntary.</w:t>
      </w:r>
      <w:r w:rsidRPr="000C2492">
        <w:rPr>
          <w:rFonts w:ascii="Times New Roman" w:hAnsi="Times New Roman" w:cs="Times New Roman"/>
          <w:sz w:val="24"/>
          <w:szCs w:val="24"/>
          <w:vertAlign w:val="superscript"/>
        </w:rPr>
        <w:footnoteReference w:id="70"/>
      </w:r>
      <w:r w:rsidRPr="000C2492">
        <w:rPr>
          <w:rFonts w:ascii="Times New Roman" w:hAnsi="Times New Roman" w:cs="Times New Roman"/>
          <w:sz w:val="24"/>
          <w:szCs w:val="24"/>
        </w:rPr>
        <w:t xml:space="preserve"> The outcome of a successful challenge would be the exclusion of the statement as evidence.</w:t>
      </w:r>
      <w:r w:rsidRPr="000C2492">
        <w:rPr>
          <w:rFonts w:ascii="Times New Roman" w:hAnsi="Times New Roman" w:cs="Times New Roman"/>
          <w:sz w:val="24"/>
          <w:szCs w:val="24"/>
          <w:vertAlign w:val="superscript"/>
        </w:rPr>
        <w:footnoteReference w:id="71"/>
      </w:r>
      <w:r w:rsidRPr="000C2492">
        <w:rPr>
          <w:rFonts w:ascii="Times New Roman" w:hAnsi="Times New Roman" w:cs="Times New Roman"/>
          <w:sz w:val="24"/>
          <w:szCs w:val="24"/>
        </w:rPr>
        <w:t xml:space="preserve"> </w:t>
      </w:r>
    </w:p>
    <w:p w14:paraId="59136135" w14:textId="77777777" w:rsidR="00523942" w:rsidRPr="00F81413" w:rsidRDefault="00523942" w:rsidP="000C2492">
      <w:pPr>
        <w:jc w:val="both"/>
      </w:pPr>
    </w:p>
    <w:p w14:paraId="2E9C4050" w14:textId="28184DDB" w:rsidR="00523942" w:rsidRPr="007F6386" w:rsidRDefault="00B86A4D" w:rsidP="007F6386">
      <w:pPr>
        <w:pStyle w:val="Heading3"/>
        <w:rPr>
          <w:sz w:val="28"/>
        </w:rPr>
      </w:pPr>
      <w:r w:rsidRPr="00523942">
        <w:rPr>
          <w:sz w:val="24"/>
          <w:szCs w:val="24"/>
        </w:rPr>
        <w:t>S</w:t>
      </w:r>
      <w:r w:rsidR="005F26F1" w:rsidRPr="00523942">
        <w:rPr>
          <w:sz w:val="24"/>
          <w:szCs w:val="24"/>
        </w:rPr>
        <w:t xml:space="preserve">tatements made by witnesses under </w:t>
      </w:r>
      <w:r w:rsidR="005F26F1" w:rsidRPr="007F6386">
        <w:rPr>
          <w:sz w:val="24"/>
        </w:rPr>
        <w:t>S</w:t>
      </w:r>
      <w:r w:rsidRPr="007F6386">
        <w:rPr>
          <w:sz w:val="24"/>
        </w:rPr>
        <w:t>ection 22</w:t>
      </w:r>
      <w:r w:rsidR="005F26F1" w:rsidRPr="00523942">
        <w:rPr>
          <w:sz w:val="24"/>
          <w:szCs w:val="24"/>
        </w:rPr>
        <w:t>.</w:t>
      </w:r>
    </w:p>
    <w:p w14:paraId="6241C500" w14:textId="3D402D4F" w:rsidR="007F6386" w:rsidRDefault="00D30DBB" w:rsidP="000C2492">
      <w:pPr>
        <w:jc w:val="both"/>
        <w:rPr>
          <w:rFonts w:ascii="Times New Roman" w:hAnsi="Times New Roman" w:cs="Times New Roman"/>
          <w:sz w:val="24"/>
          <w:szCs w:val="24"/>
        </w:rPr>
      </w:pPr>
      <w:r w:rsidRPr="000C2492">
        <w:rPr>
          <w:rFonts w:ascii="Times New Roman" w:hAnsi="Times New Roman" w:cs="Times New Roman"/>
          <w:sz w:val="24"/>
          <w:szCs w:val="24"/>
        </w:rPr>
        <w:t>As you might</w:t>
      </w:r>
      <w:r w:rsidR="00114DAC">
        <w:rPr>
          <w:rFonts w:ascii="Times New Roman" w:hAnsi="Times New Roman" w:cs="Times New Roman"/>
          <w:sz w:val="24"/>
          <w:szCs w:val="24"/>
        </w:rPr>
        <w:t xml:space="preserve"> have</w:t>
      </w:r>
      <w:r w:rsidRPr="000C2492">
        <w:rPr>
          <w:rFonts w:ascii="Times New Roman" w:hAnsi="Times New Roman" w:cs="Times New Roman"/>
          <w:sz w:val="24"/>
          <w:szCs w:val="24"/>
        </w:rPr>
        <w:t xml:space="preserve"> notice</w:t>
      </w:r>
      <w:r w:rsidR="00114DAC">
        <w:rPr>
          <w:rFonts w:ascii="Times New Roman" w:hAnsi="Times New Roman" w:cs="Times New Roman"/>
          <w:sz w:val="24"/>
          <w:szCs w:val="24"/>
        </w:rPr>
        <w:t>d</w:t>
      </w:r>
      <w:r w:rsidRPr="000C2492">
        <w:rPr>
          <w:rFonts w:ascii="Times New Roman" w:hAnsi="Times New Roman" w:cs="Times New Roman"/>
          <w:sz w:val="24"/>
          <w:szCs w:val="24"/>
        </w:rPr>
        <w:t>,</w:t>
      </w:r>
      <w:r w:rsidR="00B62AC5" w:rsidRPr="000C2492">
        <w:rPr>
          <w:rFonts w:ascii="Times New Roman" w:hAnsi="Times New Roman" w:cs="Times New Roman"/>
          <w:sz w:val="24"/>
          <w:szCs w:val="24"/>
        </w:rPr>
        <w:t xml:space="preserve"> </w:t>
      </w:r>
      <w:r w:rsidR="00B66D16">
        <w:rPr>
          <w:rFonts w:ascii="Times New Roman" w:hAnsi="Times New Roman" w:cs="Times New Roman"/>
          <w:sz w:val="24"/>
          <w:szCs w:val="24"/>
        </w:rPr>
        <w:t xml:space="preserve">most statements </w:t>
      </w:r>
      <w:r w:rsidR="00CE189D">
        <w:rPr>
          <w:rFonts w:ascii="Times New Roman" w:hAnsi="Times New Roman" w:cs="Times New Roman"/>
          <w:sz w:val="24"/>
          <w:szCs w:val="24"/>
        </w:rPr>
        <w:t xml:space="preserve">that are made by the accused </w:t>
      </w:r>
      <w:r w:rsidR="00B66D16">
        <w:rPr>
          <w:rFonts w:ascii="Times New Roman" w:hAnsi="Times New Roman" w:cs="Times New Roman"/>
          <w:sz w:val="24"/>
          <w:szCs w:val="24"/>
        </w:rPr>
        <w:t xml:space="preserve">are admissible under </w:t>
      </w:r>
      <w:r w:rsidRPr="000C2492">
        <w:rPr>
          <w:rFonts w:ascii="Times New Roman" w:hAnsi="Times New Roman" w:cs="Times New Roman"/>
          <w:sz w:val="24"/>
          <w:szCs w:val="24"/>
        </w:rPr>
        <w:t xml:space="preserve">the </w:t>
      </w:r>
      <w:r w:rsidR="00C955E0">
        <w:rPr>
          <w:rFonts w:ascii="Times New Roman" w:hAnsi="Times New Roman" w:cs="Times New Roman"/>
          <w:sz w:val="24"/>
          <w:szCs w:val="24"/>
        </w:rPr>
        <w:t xml:space="preserve">existing </w:t>
      </w:r>
      <w:r w:rsidR="00B42E63" w:rsidRPr="000C2492">
        <w:rPr>
          <w:rFonts w:ascii="Times New Roman" w:hAnsi="Times New Roman" w:cs="Times New Roman"/>
          <w:sz w:val="24"/>
          <w:szCs w:val="24"/>
        </w:rPr>
        <w:t xml:space="preserve">legal </w:t>
      </w:r>
      <w:r w:rsidRPr="000C2492">
        <w:rPr>
          <w:rFonts w:ascii="Times New Roman" w:hAnsi="Times New Roman" w:cs="Times New Roman"/>
          <w:sz w:val="24"/>
          <w:szCs w:val="24"/>
        </w:rPr>
        <w:t>regime</w:t>
      </w:r>
      <w:r w:rsidR="00B62AC5" w:rsidRPr="000C2492">
        <w:rPr>
          <w:rFonts w:ascii="Times New Roman" w:hAnsi="Times New Roman" w:cs="Times New Roman"/>
          <w:sz w:val="24"/>
          <w:szCs w:val="24"/>
        </w:rPr>
        <w:t xml:space="preserve">. In contrast, </w:t>
      </w:r>
      <w:r w:rsidR="00695708">
        <w:rPr>
          <w:rFonts w:ascii="Times New Roman" w:hAnsi="Times New Roman" w:cs="Times New Roman"/>
          <w:sz w:val="24"/>
          <w:szCs w:val="24"/>
        </w:rPr>
        <w:t xml:space="preserve">witness </w:t>
      </w:r>
      <w:r w:rsidR="00B62AC5" w:rsidRPr="000C2492">
        <w:rPr>
          <w:rFonts w:ascii="Times New Roman" w:hAnsi="Times New Roman" w:cs="Times New Roman"/>
          <w:sz w:val="24"/>
          <w:szCs w:val="24"/>
        </w:rPr>
        <w:t xml:space="preserve">statements </w:t>
      </w:r>
      <w:r w:rsidR="00033F27">
        <w:rPr>
          <w:rFonts w:ascii="Times New Roman" w:hAnsi="Times New Roman" w:cs="Times New Roman"/>
          <w:sz w:val="24"/>
          <w:szCs w:val="24"/>
        </w:rPr>
        <w:t xml:space="preserve">are </w:t>
      </w:r>
      <w:r w:rsidR="00B62AC5" w:rsidRPr="000C2492">
        <w:rPr>
          <w:rFonts w:ascii="Times New Roman" w:hAnsi="Times New Roman" w:cs="Times New Roman"/>
          <w:sz w:val="24"/>
          <w:szCs w:val="24"/>
        </w:rPr>
        <w:t>generally inadmissible.</w:t>
      </w:r>
      <w:r w:rsidR="00B62AC5" w:rsidRPr="000C2492">
        <w:rPr>
          <w:rFonts w:ascii="Times New Roman" w:hAnsi="Times New Roman" w:cs="Times New Roman"/>
          <w:sz w:val="24"/>
          <w:szCs w:val="24"/>
          <w:vertAlign w:val="superscript"/>
        </w:rPr>
        <w:footnoteReference w:id="72"/>
      </w:r>
      <w:r w:rsidR="00B62AC5" w:rsidRPr="000C2492">
        <w:rPr>
          <w:rFonts w:ascii="Times New Roman" w:hAnsi="Times New Roman" w:cs="Times New Roman"/>
          <w:sz w:val="24"/>
          <w:szCs w:val="24"/>
        </w:rPr>
        <w:t xml:space="preserve"> </w:t>
      </w:r>
      <w:r w:rsidR="00C43A3C">
        <w:rPr>
          <w:rFonts w:ascii="Times New Roman" w:hAnsi="Times New Roman" w:cs="Times New Roman"/>
          <w:sz w:val="24"/>
          <w:szCs w:val="24"/>
        </w:rPr>
        <w:t>The</w:t>
      </w:r>
      <w:r w:rsidR="00333DC7">
        <w:rPr>
          <w:rFonts w:ascii="Times New Roman" w:hAnsi="Times New Roman" w:cs="Times New Roman"/>
          <w:sz w:val="24"/>
          <w:szCs w:val="24"/>
        </w:rPr>
        <w:t xml:space="preserve">re are two </w:t>
      </w:r>
      <w:r w:rsidR="00C752C3">
        <w:rPr>
          <w:rFonts w:ascii="Times New Roman" w:hAnsi="Times New Roman" w:cs="Times New Roman"/>
          <w:sz w:val="24"/>
          <w:szCs w:val="24"/>
        </w:rPr>
        <w:t>reasons</w:t>
      </w:r>
      <w:r w:rsidR="00333DC7">
        <w:rPr>
          <w:rFonts w:ascii="Times New Roman" w:hAnsi="Times New Roman" w:cs="Times New Roman"/>
          <w:sz w:val="24"/>
          <w:szCs w:val="24"/>
        </w:rPr>
        <w:t>:</w:t>
      </w:r>
      <w:r w:rsidR="00C43A3C">
        <w:rPr>
          <w:rFonts w:ascii="Times New Roman" w:hAnsi="Times New Roman" w:cs="Times New Roman"/>
          <w:sz w:val="24"/>
          <w:szCs w:val="24"/>
        </w:rPr>
        <w:t xml:space="preserve"> </w:t>
      </w:r>
      <w:r w:rsidR="00333DC7" w:rsidRPr="00F81413">
        <w:rPr>
          <w:rFonts w:ascii="Times New Roman" w:hAnsi="Times New Roman" w:cs="Times New Roman"/>
          <w:i/>
          <w:iCs/>
          <w:sz w:val="24"/>
          <w:szCs w:val="24"/>
        </w:rPr>
        <w:t>first</w:t>
      </w:r>
      <w:r w:rsidR="00333DC7">
        <w:rPr>
          <w:rFonts w:ascii="Times New Roman" w:hAnsi="Times New Roman" w:cs="Times New Roman"/>
          <w:sz w:val="24"/>
          <w:szCs w:val="24"/>
        </w:rPr>
        <w:t xml:space="preserve">, </w:t>
      </w:r>
      <w:r w:rsidR="00C43A3C" w:rsidRPr="00C43A3C">
        <w:rPr>
          <w:rFonts w:ascii="Times New Roman" w:hAnsi="Times New Roman" w:cs="Times New Roman"/>
          <w:sz w:val="24"/>
          <w:szCs w:val="24"/>
        </w:rPr>
        <w:t xml:space="preserve">to protect accused persons from </w:t>
      </w:r>
      <w:r w:rsidR="00333DC7">
        <w:rPr>
          <w:rFonts w:ascii="Times New Roman" w:hAnsi="Times New Roman" w:cs="Times New Roman"/>
          <w:sz w:val="24"/>
          <w:szCs w:val="24"/>
        </w:rPr>
        <w:t xml:space="preserve">the risk of untruthful witnesses, and </w:t>
      </w:r>
      <w:r w:rsidR="00333DC7" w:rsidRPr="00F81413">
        <w:rPr>
          <w:rFonts w:ascii="Times New Roman" w:hAnsi="Times New Roman" w:cs="Times New Roman"/>
          <w:i/>
          <w:iCs/>
          <w:sz w:val="24"/>
          <w:szCs w:val="24"/>
        </w:rPr>
        <w:t>second</w:t>
      </w:r>
      <w:r w:rsidR="00333DC7">
        <w:rPr>
          <w:rFonts w:ascii="Times New Roman" w:hAnsi="Times New Roman" w:cs="Times New Roman"/>
          <w:sz w:val="24"/>
          <w:szCs w:val="24"/>
        </w:rPr>
        <w:t>, to ensure only reliable evidence is admitted by regulating the use of witness statements</w:t>
      </w:r>
      <w:r w:rsidR="00C43A3C" w:rsidRPr="00C43A3C">
        <w:rPr>
          <w:rFonts w:ascii="Times New Roman" w:hAnsi="Times New Roman" w:cs="Times New Roman"/>
          <w:sz w:val="24"/>
          <w:szCs w:val="24"/>
        </w:rPr>
        <w:t>.</w:t>
      </w:r>
      <w:r w:rsidR="00C43A3C" w:rsidRPr="007F6386">
        <w:rPr>
          <w:rStyle w:val="FootnoteReference"/>
          <w:rFonts w:ascii="Times New Roman" w:hAnsi="Times New Roman"/>
          <w:sz w:val="24"/>
        </w:rPr>
        <w:footnoteReference w:id="73"/>
      </w:r>
      <w:r w:rsidR="00C43A3C">
        <w:rPr>
          <w:rFonts w:ascii="Times New Roman" w:hAnsi="Times New Roman" w:cs="Times New Roman"/>
          <w:sz w:val="24"/>
          <w:szCs w:val="24"/>
        </w:rPr>
        <w:t xml:space="preserve"> </w:t>
      </w:r>
      <w:r w:rsidR="005048CE">
        <w:rPr>
          <w:rFonts w:ascii="Times New Roman" w:hAnsi="Times New Roman" w:cs="Times New Roman"/>
          <w:sz w:val="24"/>
          <w:szCs w:val="24"/>
        </w:rPr>
        <w:t>To use a witness statement</w:t>
      </w:r>
      <w:r w:rsidR="006B5D61">
        <w:rPr>
          <w:rFonts w:ascii="Times New Roman" w:hAnsi="Times New Roman" w:cs="Times New Roman"/>
          <w:sz w:val="24"/>
          <w:szCs w:val="24"/>
        </w:rPr>
        <w:t>, t</w:t>
      </w:r>
      <w:r w:rsidR="00B62AC5" w:rsidRPr="000C2492">
        <w:rPr>
          <w:rFonts w:ascii="Times New Roman" w:hAnsi="Times New Roman" w:cs="Times New Roman"/>
          <w:sz w:val="24"/>
          <w:szCs w:val="24"/>
        </w:rPr>
        <w:t xml:space="preserve">he </w:t>
      </w:r>
      <w:r w:rsidR="006B5D61">
        <w:rPr>
          <w:rFonts w:ascii="Times New Roman" w:hAnsi="Times New Roman" w:cs="Times New Roman"/>
          <w:sz w:val="24"/>
          <w:szCs w:val="24"/>
        </w:rPr>
        <w:t>P</w:t>
      </w:r>
      <w:r w:rsidR="00B62AC5" w:rsidRPr="000C2492">
        <w:rPr>
          <w:rFonts w:ascii="Times New Roman" w:hAnsi="Times New Roman" w:cs="Times New Roman"/>
          <w:sz w:val="24"/>
          <w:szCs w:val="24"/>
        </w:rPr>
        <w:t xml:space="preserve">rosecution would </w:t>
      </w:r>
      <w:r w:rsidR="00CD6C09">
        <w:rPr>
          <w:rFonts w:ascii="Times New Roman" w:hAnsi="Times New Roman" w:cs="Times New Roman"/>
          <w:sz w:val="24"/>
          <w:szCs w:val="24"/>
        </w:rPr>
        <w:t xml:space="preserve">thus </w:t>
      </w:r>
      <w:r w:rsidR="00B62AC5" w:rsidRPr="000C2492">
        <w:rPr>
          <w:rFonts w:ascii="Times New Roman" w:hAnsi="Times New Roman" w:cs="Times New Roman"/>
          <w:sz w:val="24"/>
          <w:szCs w:val="24"/>
        </w:rPr>
        <w:t xml:space="preserve">have to show that </w:t>
      </w:r>
      <w:r w:rsidR="005048CE">
        <w:rPr>
          <w:rFonts w:ascii="Times New Roman" w:hAnsi="Times New Roman" w:cs="Times New Roman"/>
          <w:sz w:val="24"/>
          <w:szCs w:val="24"/>
        </w:rPr>
        <w:t>the</w:t>
      </w:r>
      <w:r w:rsidR="00BF21FC">
        <w:rPr>
          <w:rFonts w:ascii="Times New Roman" w:hAnsi="Times New Roman" w:cs="Times New Roman"/>
          <w:sz w:val="24"/>
          <w:szCs w:val="24"/>
        </w:rPr>
        <w:t xml:space="preserve"> </w:t>
      </w:r>
      <w:r w:rsidR="006B5D61">
        <w:rPr>
          <w:rFonts w:ascii="Times New Roman" w:hAnsi="Times New Roman" w:cs="Times New Roman"/>
          <w:sz w:val="24"/>
          <w:szCs w:val="24"/>
        </w:rPr>
        <w:t>statement</w:t>
      </w:r>
      <w:r w:rsidR="006B5D61" w:rsidRPr="000C2492">
        <w:rPr>
          <w:rFonts w:ascii="Times New Roman" w:hAnsi="Times New Roman" w:cs="Times New Roman"/>
          <w:sz w:val="24"/>
          <w:szCs w:val="24"/>
        </w:rPr>
        <w:t xml:space="preserve"> </w:t>
      </w:r>
      <w:r w:rsidR="00B62AC5" w:rsidRPr="000C2492">
        <w:rPr>
          <w:rFonts w:ascii="Times New Roman" w:hAnsi="Times New Roman" w:cs="Times New Roman"/>
          <w:sz w:val="24"/>
          <w:szCs w:val="24"/>
        </w:rPr>
        <w:t>is admissible under an exception.</w:t>
      </w:r>
      <w:r w:rsidR="00B62AC5" w:rsidRPr="000C2492">
        <w:rPr>
          <w:rFonts w:ascii="Times New Roman" w:hAnsi="Times New Roman" w:cs="Times New Roman"/>
          <w:sz w:val="24"/>
          <w:szCs w:val="24"/>
          <w:vertAlign w:val="superscript"/>
        </w:rPr>
        <w:footnoteReference w:id="74"/>
      </w:r>
    </w:p>
    <w:p w14:paraId="5DCD6434" w14:textId="77777777" w:rsidR="00D17F7A" w:rsidRDefault="00D17F7A" w:rsidP="000C2492">
      <w:pPr>
        <w:jc w:val="both"/>
        <w:rPr>
          <w:rFonts w:ascii="Times New Roman" w:hAnsi="Times New Roman" w:cs="Times New Roman"/>
          <w:sz w:val="24"/>
          <w:szCs w:val="24"/>
        </w:rPr>
      </w:pPr>
    </w:p>
    <w:p w14:paraId="10A499C8" w14:textId="4EA7A28B" w:rsidR="00A12110" w:rsidRPr="000C2492" w:rsidRDefault="00C61FDD" w:rsidP="000C2492">
      <w:pPr>
        <w:jc w:val="both"/>
        <w:rPr>
          <w:rFonts w:ascii="Times New Roman" w:hAnsi="Times New Roman" w:cs="Times New Roman"/>
          <w:sz w:val="24"/>
          <w:szCs w:val="24"/>
        </w:rPr>
      </w:pPr>
      <w:r>
        <w:rPr>
          <w:rFonts w:ascii="Times New Roman" w:hAnsi="Times New Roman" w:cs="Times New Roman"/>
          <w:sz w:val="24"/>
          <w:szCs w:val="24"/>
        </w:rPr>
        <w:t>A</w:t>
      </w:r>
      <w:r w:rsidRPr="000C2492">
        <w:rPr>
          <w:rFonts w:ascii="Times New Roman" w:hAnsi="Times New Roman" w:cs="Times New Roman"/>
          <w:sz w:val="24"/>
          <w:szCs w:val="24"/>
        </w:rPr>
        <w:t xml:space="preserve"> </w:t>
      </w:r>
      <w:r w:rsidR="00E9163E" w:rsidRPr="000C2492">
        <w:rPr>
          <w:rFonts w:ascii="Times New Roman" w:hAnsi="Times New Roman" w:cs="Times New Roman"/>
          <w:sz w:val="24"/>
          <w:szCs w:val="24"/>
        </w:rPr>
        <w:t xml:space="preserve">possible </w:t>
      </w:r>
      <w:r w:rsidR="00377E85" w:rsidRPr="000C2492">
        <w:rPr>
          <w:rFonts w:ascii="Times New Roman" w:hAnsi="Times New Roman" w:cs="Times New Roman"/>
          <w:sz w:val="24"/>
          <w:szCs w:val="24"/>
        </w:rPr>
        <w:t xml:space="preserve">reason for this distinction </w:t>
      </w:r>
      <w:r>
        <w:rPr>
          <w:rFonts w:ascii="Times New Roman" w:hAnsi="Times New Roman" w:cs="Times New Roman"/>
          <w:sz w:val="24"/>
          <w:szCs w:val="24"/>
        </w:rPr>
        <w:t>is</w:t>
      </w:r>
      <w:r w:rsidRPr="000C2492">
        <w:rPr>
          <w:rFonts w:ascii="Times New Roman" w:hAnsi="Times New Roman" w:cs="Times New Roman"/>
          <w:sz w:val="24"/>
          <w:szCs w:val="24"/>
        </w:rPr>
        <w:t xml:space="preserve"> </w:t>
      </w:r>
      <w:r w:rsidR="00057DE9" w:rsidRPr="000C2492">
        <w:rPr>
          <w:rFonts w:ascii="Times New Roman" w:hAnsi="Times New Roman" w:cs="Times New Roman"/>
          <w:sz w:val="24"/>
          <w:szCs w:val="24"/>
        </w:rPr>
        <w:t xml:space="preserve">that </w:t>
      </w:r>
      <w:r w:rsidR="00377E85" w:rsidRPr="000C2492">
        <w:rPr>
          <w:rFonts w:ascii="Times New Roman" w:hAnsi="Times New Roman" w:cs="Times New Roman"/>
          <w:sz w:val="24"/>
          <w:szCs w:val="24"/>
        </w:rPr>
        <w:t>statements by witnesses might not be relevant</w:t>
      </w:r>
      <w:r w:rsidR="00E9163E" w:rsidRPr="000C2492">
        <w:rPr>
          <w:rFonts w:ascii="Times New Roman" w:hAnsi="Times New Roman" w:cs="Times New Roman"/>
          <w:sz w:val="24"/>
          <w:szCs w:val="24"/>
        </w:rPr>
        <w:t xml:space="preserve"> or reliable</w:t>
      </w:r>
      <w:r w:rsidR="00B22361" w:rsidRPr="000C2492">
        <w:rPr>
          <w:rFonts w:ascii="Times New Roman" w:hAnsi="Times New Roman" w:cs="Times New Roman"/>
          <w:sz w:val="24"/>
          <w:szCs w:val="24"/>
        </w:rPr>
        <w:t>.</w:t>
      </w:r>
      <w:r w:rsidR="00E9163E" w:rsidRPr="000C2492">
        <w:rPr>
          <w:rStyle w:val="FootnoteReference"/>
          <w:rFonts w:ascii="Times New Roman" w:hAnsi="Times New Roman" w:cs="Times New Roman"/>
          <w:sz w:val="24"/>
          <w:szCs w:val="24"/>
        </w:rPr>
        <w:footnoteReference w:id="75"/>
      </w:r>
      <w:r w:rsidR="008F79AD" w:rsidRPr="000C2492">
        <w:rPr>
          <w:rFonts w:ascii="Times New Roman" w:hAnsi="Times New Roman" w:cs="Times New Roman"/>
          <w:sz w:val="24"/>
          <w:szCs w:val="24"/>
        </w:rPr>
        <w:t xml:space="preserve"> Additionally</w:t>
      </w:r>
      <w:r w:rsidR="00B62AC5" w:rsidRPr="000C2492">
        <w:rPr>
          <w:rFonts w:ascii="Times New Roman" w:hAnsi="Times New Roman" w:cs="Times New Roman"/>
          <w:sz w:val="24"/>
          <w:szCs w:val="24"/>
        </w:rPr>
        <w:t xml:space="preserve">, although the voluntariness test does not </w:t>
      </w:r>
      <w:r w:rsidR="008B740A" w:rsidRPr="000C2492">
        <w:rPr>
          <w:rFonts w:ascii="Times New Roman" w:hAnsi="Times New Roman" w:cs="Times New Roman"/>
          <w:sz w:val="24"/>
          <w:szCs w:val="24"/>
        </w:rPr>
        <w:t>appear</w:t>
      </w:r>
      <w:r w:rsidR="00B62AC5" w:rsidRPr="000C2492">
        <w:rPr>
          <w:rFonts w:ascii="Times New Roman" w:hAnsi="Times New Roman" w:cs="Times New Roman"/>
          <w:sz w:val="24"/>
          <w:szCs w:val="24"/>
        </w:rPr>
        <w:t xml:space="preserve"> to apply for witness statements,</w:t>
      </w:r>
      <w:r w:rsidR="00B62AC5" w:rsidRPr="000C2492">
        <w:rPr>
          <w:rFonts w:ascii="Times New Roman" w:hAnsi="Times New Roman" w:cs="Times New Roman"/>
          <w:sz w:val="24"/>
          <w:szCs w:val="24"/>
          <w:vertAlign w:val="superscript"/>
        </w:rPr>
        <w:footnoteReference w:id="76"/>
      </w:r>
      <w:r w:rsidR="00B62AC5" w:rsidRPr="000C2492">
        <w:rPr>
          <w:rFonts w:ascii="Times New Roman" w:hAnsi="Times New Roman" w:cs="Times New Roman"/>
          <w:sz w:val="24"/>
          <w:szCs w:val="24"/>
        </w:rPr>
        <w:t xml:space="preserve"> case law does support the existence of judicial discretion to exclude involuntary witness statements.</w:t>
      </w:r>
      <w:r w:rsidR="00B62AC5" w:rsidRPr="000C2492">
        <w:rPr>
          <w:rFonts w:ascii="Times New Roman" w:hAnsi="Times New Roman" w:cs="Times New Roman"/>
          <w:sz w:val="24"/>
          <w:szCs w:val="24"/>
          <w:vertAlign w:val="superscript"/>
        </w:rPr>
        <w:footnoteReference w:id="77"/>
      </w:r>
      <w:r w:rsidR="00613590" w:rsidRPr="000C2492">
        <w:rPr>
          <w:rFonts w:ascii="Times New Roman" w:hAnsi="Times New Roman" w:cs="Times New Roman"/>
          <w:sz w:val="24"/>
          <w:szCs w:val="24"/>
        </w:rPr>
        <w:t xml:space="preserve"> </w:t>
      </w:r>
      <w:r w:rsidR="00A12110" w:rsidRPr="000C2492">
        <w:rPr>
          <w:rFonts w:ascii="Times New Roman" w:hAnsi="Times New Roman" w:cs="Times New Roman"/>
          <w:sz w:val="24"/>
          <w:szCs w:val="24"/>
        </w:rPr>
        <w:t xml:space="preserve">Therefore, statements </w:t>
      </w:r>
      <w:r w:rsidR="00DC69EF">
        <w:rPr>
          <w:rFonts w:ascii="Times New Roman" w:hAnsi="Times New Roman" w:cs="Times New Roman"/>
          <w:sz w:val="24"/>
          <w:szCs w:val="24"/>
        </w:rPr>
        <w:t xml:space="preserve">of </w:t>
      </w:r>
      <w:r w:rsidR="00F648A3">
        <w:rPr>
          <w:rFonts w:ascii="Times New Roman" w:hAnsi="Times New Roman" w:cs="Times New Roman"/>
          <w:sz w:val="24"/>
          <w:szCs w:val="24"/>
        </w:rPr>
        <w:t xml:space="preserve">key </w:t>
      </w:r>
      <w:r w:rsidR="00DC69EF">
        <w:rPr>
          <w:rFonts w:ascii="Times New Roman" w:hAnsi="Times New Roman" w:cs="Times New Roman"/>
          <w:sz w:val="24"/>
          <w:szCs w:val="24"/>
        </w:rPr>
        <w:t xml:space="preserve">witnesses </w:t>
      </w:r>
      <w:r w:rsidR="00A12110" w:rsidRPr="000C2492">
        <w:rPr>
          <w:rFonts w:ascii="Times New Roman" w:hAnsi="Times New Roman" w:cs="Times New Roman"/>
          <w:sz w:val="24"/>
          <w:szCs w:val="24"/>
        </w:rPr>
        <w:t xml:space="preserve">should </w:t>
      </w:r>
      <w:r w:rsidR="00DC69EF">
        <w:rPr>
          <w:rFonts w:ascii="Times New Roman" w:hAnsi="Times New Roman" w:cs="Times New Roman"/>
          <w:sz w:val="24"/>
          <w:szCs w:val="24"/>
        </w:rPr>
        <w:t xml:space="preserve">also </w:t>
      </w:r>
      <w:r w:rsidR="00A12110" w:rsidRPr="000C2492">
        <w:rPr>
          <w:rFonts w:ascii="Times New Roman" w:hAnsi="Times New Roman" w:cs="Times New Roman"/>
          <w:sz w:val="24"/>
          <w:szCs w:val="24"/>
        </w:rPr>
        <w:t>be taken carefully</w:t>
      </w:r>
      <w:r w:rsidR="00113803">
        <w:rPr>
          <w:rFonts w:ascii="Times New Roman" w:hAnsi="Times New Roman" w:cs="Times New Roman"/>
          <w:sz w:val="24"/>
          <w:szCs w:val="24"/>
        </w:rPr>
        <w:t xml:space="preserve"> </w:t>
      </w:r>
      <w:proofErr w:type="gramStart"/>
      <w:r w:rsidR="00F81413">
        <w:rPr>
          <w:rFonts w:ascii="Times New Roman" w:hAnsi="Times New Roman" w:cs="Times New Roman"/>
          <w:sz w:val="24"/>
          <w:szCs w:val="24"/>
        </w:rPr>
        <w:t>so as to</w:t>
      </w:r>
      <w:proofErr w:type="gramEnd"/>
      <w:r w:rsidR="00113803">
        <w:rPr>
          <w:rFonts w:ascii="Times New Roman" w:hAnsi="Times New Roman" w:cs="Times New Roman"/>
          <w:sz w:val="24"/>
          <w:szCs w:val="24"/>
        </w:rPr>
        <w:t xml:space="preserve"> ensure their admissibility</w:t>
      </w:r>
      <w:r w:rsidR="00A12110" w:rsidRPr="000C2492">
        <w:rPr>
          <w:rFonts w:ascii="Times New Roman" w:hAnsi="Times New Roman" w:cs="Times New Roman"/>
          <w:sz w:val="24"/>
          <w:szCs w:val="24"/>
        </w:rPr>
        <w:t>.</w:t>
      </w:r>
    </w:p>
    <w:p w14:paraId="0D5AD3BF" w14:textId="649CA561" w:rsidR="00A12110" w:rsidRDefault="00A12110" w:rsidP="000C2492">
      <w:pPr>
        <w:jc w:val="both"/>
        <w:rPr>
          <w:rFonts w:ascii="Times New Roman" w:hAnsi="Times New Roman" w:cs="Times New Roman"/>
          <w:sz w:val="24"/>
          <w:szCs w:val="24"/>
        </w:rPr>
      </w:pPr>
    </w:p>
    <w:p w14:paraId="44B7129C" w14:textId="60515C71" w:rsidR="00BE7974" w:rsidRPr="000C2492" w:rsidRDefault="00BE7974" w:rsidP="00BE7974">
      <w:pPr>
        <w:jc w:val="both"/>
        <w:rPr>
          <w:rFonts w:ascii="Times New Roman" w:hAnsi="Times New Roman" w:cs="Times New Roman"/>
          <w:sz w:val="24"/>
          <w:szCs w:val="24"/>
        </w:rPr>
      </w:pPr>
      <w:r>
        <w:rPr>
          <w:rFonts w:ascii="Times New Roman" w:hAnsi="Times New Roman" w:cs="Times New Roman"/>
          <w:sz w:val="24"/>
          <w:szCs w:val="24"/>
        </w:rPr>
        <w:lastRenderedPageBreak/>
        <w:t>On this note, the accused may also wish to admit witness statements that are exculpatory</w:t>
      </w:r>
      <w:r w:rsidR="00A54E0D">
        <w:rPr>
          <w:rFonts w:ascii="Times New Roman" w:hAnsi="Times New Roman" w:cs="Times New Roman"/>
          <w:sz w:val="24"/>
          <w:szCs w:val="24"/>
        </w:rPr>
        <w:t xml:space="preserve"> </w:t>
      </w:r>
      <w:r>
        <w:rPr>
          <w:rFonts w:ascii="Times New Roman" w:hAnsi="Times New Roman" w:cs="Times New Roman"/>
          <w:sz w:val="24"/>
          <w:szCs w:val="24"/>
        </w:rPr>
        <w:t>into evidence.</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Clearly, this would require the accused to have access to the statements. Therefore, to avoid substantial prejudice to the accused and to allow him to make an informed choice for how he conducts his </w:t>
      </w:r>
      <w:proofErr w:type="spellStart"/>
      <w:r>
        <w:rPr>
          <w:rFonts w:ascii="Times New Roman" w:hAnsi="Times New Roman" w:cs="Times New Roman"/>
          <w:sz w:val="24"/>
          <w:szCs w:val="24"/>
        </w:rPr>
        <w:t>defense</w:t>
      </w:r>
      <w:proofErr w:type="spellEnd"/>
      <w:r>
        <w:rPr>
          <w:rFonts w:ascii="Times New Roman" w:hAnsi="Times New Roman" w:cs="Times New Roman"/>
          <w:sz w:val="24"/>
          <w:szCs w:val="24"/>
        </w:rPr>
        <w:t>, the prosecution is obliged to disclose all material witness statements before his trial begins.</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The consequence of non-disclosure could include a retrial or even an acquittal.</w:t>
      </w:r>
      <w:r>
        <w:rPr>
          <w:rStyle w:val="FootnoteReference"/>
          <w:rFonts w:ascii="Times New Roman" w:hAnsi="Times New Roman" w:cs="Times New Roman"/>
          <w:sz w:val="24"/>
          <w:szCs w:val="24"/>
        </w:rPr>
        <w:footnoteReference w:id="80"/>
      </w:r>
      <w:r>
        <w:rPr>
          <w:rFonts w:ascii="Times New Roman" w:hAnsi="Times New Roman" w:cs="Times New Roman"/>
          <w:sz w:val="24"/>
          <w:szCs w:val="24"/>
        </w:rPr>
        <w:t xml:space="preserve"> </w:t>
      </w:r>
    </w:p>
    <w:p w14:paraId="6881556D" w14:textId="77777777" w:rsidR="00BE7974" w:rsidRPr="000C2492" w:rsidRDefault="00BE7974" w:rsidP="000C2492">
      <w:pPr>
        <w:jc w:val="both"/>
        <w:rPr>
          <w:rFonts w:ascii="Times New Roman" w:hAnsi="Times New Roman" w:cs="Times New Roman"/>
          <w:sz w:val="24"/>
          <w:szCs w:val="24"/>
        </w:rPr>
      </w:pPr>
    </w:p>
    <w:p w14:paraId="258B85E0" w14:textId="77777777" w:rsidR="00E17EC8" w:rsidRPr="000C2492" w:rsidRDefault="00E17EC8" w:rsidP="000C2492">
      <w:pPr>
        <w:pStyle w:val="Heading2"/>
        <w:jc w:val="both"/>
        <w:rPr>
          <w:sz w:val="24"/>
          <w:szCs w:val="24"/>
        </w:rPr>
      </w:pPr>
      <w:r w:rsidRPr="000C2492">
        <w:rPr>
          <w:sz w:val="24"/>
          <w:szCs w:val="24"/>
        </w:rPr>
        <w:t>Weight</w:t>
      </w:r>
    </w:p>
    <w:p w14:paraId="5EE39CFC" w14:textId="3E2A7659" w:rsidR="00307041" w:rsidRDefault="00307041" w:rsidP="000C2492">
      <w:pPr>
        <w:jc w:val="both"/>
        <w:rPr>
          <w:rFonts w:ascii="Times New Roman" w:hAnsi="Times New Roman" w:cs="Times New Roman"/>
          <w:sz w:val="24"/>
          <w:szCs w:val="24"/>
        </w:rPr>
      </w:pPr>
      <w:r>
        <w:rPr>
          <w:rFonts w:ascii="Times New Roman" w:hAnsi="Times New Roman" w:cs="Times New Roman"/>
          <w:sz w:val="24"/>
          <w:szCs w:val="24"/>
        </w:rPr>
        <w:t>Generally, written statements taken by the police are accorded substantial weight</w:t>
      </w:r>
      <w:r w:rsidR="00F070B9">
        <w:rPr>
          <w:rFonts w:ascii="Times New Roman" w:hAnsi="Times New Roman" w:cs="Times New Roman"/>
          <w:sz w:val="24"/>
          <w:szCs w:val="24"/>
        </w:rPr>
        <w:t xml:space="preserve">, especially </w:t>
      </w:r>
      <w:r>
        <w:rPr>
          <w:rFonts w:ascii="Times New Roman" w:hAnsi="Times New Roman" w:cs="Times New Roman"/>
          <w:sz w:val="24"/>
          <w:szCs w:val="24"/>
        </w:rPr>
        <w:t>compared to other forms of evidence.</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This is because of the “aura of reliability” that comes from them being taken under stringent procedural requirements</w:t>
      </w:r>
      <w:r w:rsidR="005909DD">
        <w:rPr>
          <w:rFonts w:ascii="Times New Roman" w:hAnsi="Times New Roman" w:cs="Times New Roman"/>
          <w:sz w:val="24"/>
          <w:szCs w:val="24"/>
        </w:rPr>
        <w:t>,</w:t>
      </w:r>
      <w:r>
        <w:rPr>
          <w:rFonts w:ascii="Times New Roman" w:hAnsi="Times New Roman" w:cs="Times New Roman"/>
          <w:sz w:val="24"/>
          <w:szCs w:val="24"/>
        </w:rPr>
        <w:t xml:space="preserve"> by trustworthy officers </w:t>
      </w:r>
      <w:r w:rsidR="0090137A">
        <w:rPr>
          <w:rFonts w:ascii="Times New Roman" w:hAnsi="Times New Roman" w:cs="Times New Roman"/>
          <w:sz w:val="24"/>
          <w:szCs w:val="24"/>
        </w:rPr>
        <w:t xml:space="preserve">experienced </w:t>
      </w:r>
      <w:r>
        <w:rPr>
          <w:rFonts w:ascii="Times New Roman" w:hAnsi="Times New Roman" w:cs="Times New Roman"/>
          <w:sz w:val="24"/>
          <w:szCs w:val="24"/>
        </w:rPr>
        <w:t>in investigative techniques</w:t>
      </w:r>
      <w:r w:rsidR="001465B5">
        <w:rPr>
          <w:rFonts w:ascii="Times New Roman" w:hAnsi="Times New Roman" w:cs="Times New Roman"/>
          <w:sz w:val="24"/>
          <w:szCs w:val="24"/>
        </w:rPr>
        <w:t>, who</w:t>
      </w:r>
      <w:r w:rsidR="0090137A">
        <w:rPr>
          <w:rFonts w:ascii="Times New Roman" w:hAnsi="Times New Roman" w:cs="Times New Roman"/>
          <w:sz w:val="24"/>
          <w:szCs w:val="24"/>
        </w:rPr>
        <w:t xml:space="preserve"> </w:t>
      </w:r>
      <w:r w:rsidR="004A77D7">
        <w:rPr>
          <w:rFonts w:ascii="Times New Roman" w:hAnsi="Times New Roman" w:cs="Times New Roman"/>
          <w:sz w:val="24"/>
          <w:szCs w:val="24"/>
        </w:rPr>
        <w:t xml:space="preserve">would </w:t>
      </w:r>
      <w:r w:rsidR="003D670C">
        <w:rPr>
          <w:rFonts w:ascii="Times New Roman" w:hAnsi="Times New Roman" w:cs="Times New Roman"/>
          <w:sz w:val="24"/>
          <w:szCs w:val="24"/>
        </w:rPr>
        <w:t xml:space="preserve">usually </w:t>
      </w:r>
      <w:r w:rsidR="0090137A">
        <w:rPr>
          <w:rFonts w:ascii="Times New Roman" w:hAnsi="Times New Roman" w:cs="Times New Roman"/>
          <w:sz w:val="24"/>
          <w:szCs w:val="24"/>
        </w:rPr>
        <w:t>discharg</w:t>
      </w:r>
      <w:r w:rsidR="001465B5">
        <w:rPr>
          <w:rFonts w:ascii="Times New Roman" w:hAnsi="Times New Roman" w:cs="Times New Roman"/>
          <w:sz w:val="24"/>
          <w:szCs w:val="24"/>
        </w:rPr>
        <w:t>e</w:t>
      </w:r>
      <w:r w:rsidR="0090137A">
        <w:rPr>
          <w:rFonts w:ascii="Times New Roman" w:hAnsi="Times New Roman" w:cs="Times New Roman"/>
          <w:sz w:val="24"/>
          <w:szCs w:val="24"/>
        </w:rPr>
        <w:t xml:space="preserve"> their obligations </w:t>
      </w:r>
      <w:r w:rsidR="00BE1495">
        <w:rPr>
          <w:rFonts w:ascii="Times New Roman" w:hAnsi="Times New Roman" w:cs="Times New Roman"/>
          <w:sz w:val="24"/>
          <w:szCs w:val="24"/>
        </w:rPr>
        <w:t xml:space="preserve">conscientiously and </w:t>
      </w:r>
      <w:r w:rsidR="0057026B">
        <w:rPr>
          <w:rFonts w:ascii="Times New Roman" w:hAnsi="Times New Roman" w:cs="Times New Roman"/>
          <w:sz w:val="24"/>
          <w:szCs w:val="24"/>
        </w:rPr>
        <w:t>with integrity</w:t>
      </w:r>
      <w:r>
        <w:rPr>
          <w:rFonts w:ascii="Times New Roman" w:hAnsi="Times New Roman" w:cs="Times New Roman"/>
          <w:sz w:val="24"/>
          <w:szCs w:val="24"/>
        </w:rPr>
        <w:t>.</w:t>
      </w:r>
      <w:r w:rsidR="0090137A">
        <w:rPr>
          <w:rStyle w:val="FootnoteReference"/>
          <w:rFonts w:ascii="Times New Roman" w:hAnsi="Times New Roman" w:cs="Times New Roman"/>
          <w:sz w:val="24"/>
          <w:szCs w:val="24"/>
        </w:rPr>
        <w:footnoteReference w:id="82"/>
      </w:r>
    </w:p>
    <w:p w14:paraId="451433B3" w14:textId="77777777" w:rsidR="00852E86" w:rsidRDefault="00852E86" w:rsidP="000C2492">
      <w:pPr>
        <w:jc w:val="both"/>
        <w:rPr>
          <w:rFonts w:ascii="Times New Roman" w:hAnsi="Times New Roman" w:cs="Times New Roman"/>
          <w:sz w:val="24"/>
          <w:szCs w:val="24"/>
        </w:rPr>
      </w:pPr>
    </w:p>
    <w:p w14:paraId="2D4EF4A0" w14:textId="58DDB75A" w:rsidR="00E46A05" w:rsidRPr="000C2492" w:rsidRDefault="00852E86" w:rsidP="000C2492">
      <w:pPr>
        <w:jc w:val="both"/>
        <w:rPr>
          <w:rFonts w:ascii="Times New Roman" w:hAnsi="Times New Roman" w:cs="Times New Roman"/>
          <w:sz w:val="24"/>
          <w:szCs w:val="24"/>
        </w:rPr>
      </w:pPr>
      <w:r>
        <w:rPr>
          <w:rFonts w:ascii="Times New Roman" w:hAnsi="Times New Roman" w:cs="Times New Roman"/>
          <w:sz w:val="24"/>
          <w:szCs w:val="24"/>
        </w:rPr>
        <w:t xml:space="preserve">However, </w:t>
      </w:r>
      <w:r w:rsidR="00B36CE1">
        <w:rPr>
          <w:rFonts w:ascii="Times New Roman" w:hAnsi="Times New Roman" w:cs="Times New Roman"/>
          <w:sz w:val="24"/>
          <w:szCs w:val="24"/>
        </w:rPr>
        <w:t xml:space="preserve">it is possible for </w:t>
      </w:r>
      <w:r>
        <w:rPr>
          <w:rFonts w:ascii="Times New Roman" w:hAnsi="Times New Roman" w:cs="Times New Roman"/>
          <w:sz w:val="24"/>
          <w:szCs w:val="24"/>
        </w:rPr>
        <w:t xml:space="preserve">statements </w:t>
      </w:r>
      <w:r w:rsidR="006D7AD1">
        <w:rPr>
          <w:rFonts w:ascii="Times New Roman" w:hAnsi="Times New Roman" w:cs="Times New Roman"/>
          <w:sz w:val="24"/>
          <w:szCs w:val="24"/>
        </w:rPr>
        <w:t xml:space="preserve">taken by the police </w:t>
      </w:r>
      <w:r w:rsidR="00B36CE1">
        <w:rPr>
          <w:rFonts w:ascii="Times New Roman" w:hAnsi="Times New Roman" w:cs="Times New Roman"/>
          <w:sz w:val="24"/>
          <w:szCs w:val="24"/>
        </w:rPr>
        <w:t xml:space="preserve">to be </w:t>
      </w:r>
      <w:r w:rsidR="006D7AD1">
        <w:rPr>
          <w:rFonts w:ascii="Times New Roman" w:hAnsi="Times New Roman" w:cs="Times New Roman"/>
          <w:sz w:val="24"/>
          <w:szCs w:val="24"/>
        </w:rPr>
        <w:t xml:space="preserve">admissible and yet </w:t>
      </w:r>
      <w:r>
        <w:rPr>
          <w:rFonts w:ascii="Times New Roman" w:hAnsi="Times New Roman" w:cs="Times New Roman"/>
          <w:sz w:val="24"/>
          <w:szCs w:val="24"/>
        </w:rPr>
        <w:t xml:space="preserve">not </w:t>
      </w:r>
      <w:r w:rsidR="00BE662D">
        <w:rPr>
          <w:rFonts w:ascii="Times New Roman" w:hAnsi="Times New Roman" w:cs="Times New Roman"/>
          <w:sz w:val="24"/>
          <w:szCs w:val="24"/>
        </w:rPr>
        <w:t xml:space="preserve">be </w:t>
      </w:r>
      <w:r>
        <w:rPr>
          <w:rFonts w:ascii="Times New Roman" w:hAnsi="Times New Roman" w:cs="Times New Roman"/>
          <w:sz w:val="24"/>
          <w:szCs w:val="24"/>
        </w:rPr>
        <w:t>accorded their full weight</w:t>
      </w:r>
      <w:r w:rsidR="006D7AD1">
        <w:rPr>
          <w:rFonts w:ascii="Times New Roman" w:hAnsi="Times New Roman" w:cs="Times New Roman"/>
          <w:sz w:val="24"/>
          <w:szCs w:val="24"/>
        </w:rPr>
        <w:t>.</w:t>
      </w:r>
      <w:r>
        <w:rPr>
          <w:rFonts w:ascii="Times New Roman" w:hAnsi="Times New Roman" w:cs="Times New Roman"/>
          <w:sz w:val="24"/>
          <w:szCs w:val="24"/>
        </w:rPr>
        <w:t xml:space="preserve"> </w:t>
      </w:r>
      <w:r w:rsidR="006D7AD1">
        <w:rPr>
          <w:rFonts w:ascii="Times New Roman" w:hAnsi="Times New Roman" w:cs="Times New Roman"/>
          <w:sz w:val="24"/>
          <w:szCs w:val="24"/>
        </w:rPr>
        <w:t xml:space="preserve">This is because </w:t>
      </w:r>
      <w:r>
        <w:rPr>
          <w:rFonts w:ascii="Times New Roman" w:hAnsi="Times New Roman" w:cs="Times New Roman"/>
          <w:sz w:val="24"/>
          <w:szCs w:val="24"/>
        </w:rPr>
        <w:t xml:space="preserve">the circumstances </w:t>
      </w:r>
      <w:r w:rsidR="00D35C48">
        <w:rPr>
          <w:rFonts w:ascii="Times New Roman" w:hAnsi="Times New Roman" w:cs="Times New Roman"/>
          <w:sz w:val="24"/>
          <w:szCs w:val="24"/>
        </w:rPr>
        <w:t xml:space="preserve">under </w:t>
      </w:r>
      <w:r w:rsidR="00394EFF">
        <w:rPr>
          <w:rFonts w:ascii="Times New Roman" w:hAnsi="Times New Roman" w:cs="Times New Roman"/>
          <w:sz w:val="24"/>
          <w:szCs w:val="24"/>
        </w:rPr>
        <w:t>which the statement</w:t>
      </w:r>
      <w:r w:rsidR="002D2B0D">
        <w:rPr>
          <w:rFonts w:ascii="Times New Roman" w:hAnsi="Times New Roman" w:cs="Times New Roman"/>
          <w:sz w:val="24"/>
          <w:szCs w:val="24"/>
        </w:rPr>
        <w:t>s</w:t>
      </w:r>
      <w:r w:rsidR="00394EFF">
        <w:rPr>
          <w:rFonts w:ascii="Times New Roman" w:hAnsi="Times New Roman" w:cs="Times New Roman"/>
          <w:sz w:val="24"/>
          <w:szCs w:val="24"/>
        </w:rPr>
        <w:t xml:space="preserve"> </w:t>
      </w:r>
      <w:r w:rsidR="002D2B0D">
        <w:rPr>
          <w:rFonts w:ascii="Times New Roman" w:hAnsi="Times New Roman" w:cs="Times New Roman"/>
          <w:sz w:val="24"/>
          <w:szCs w:val="24"/>
        </w:rPr>
        <w:t xml:space="preserve">were </w:t>
      </w:r>
      <w:r w:rsidR="00394EFF">
        <w:rPr>
          <w:rFonts w:ascii="Times New Roman" w:hAnsi="Times New Roman" w:cs="Times New Roman"/>
          <w:sz w:val="24"/>
          <w:szCs w:val="24"/>
        </w:rPr>
        <w:t xml:space="preserve">taken </w:t>
      </w:r>
      <w:r w:rsidR="002D2B0D">
        <w:rPr>
          <w:rFonts w:ascii="Times New Roman" w:hAnsi="Times New Roman" w:cs="Times New Roman"/>
          <w:sz w:val="24"/>
          <w:szCs w:val="24"/>
        </w:rPr>
        <w:t xml:space="preserve">may </w:t>
      </w:r>
      <w:r>
        <w:rPr>
          <w:rFonts w:ascii="Times New Roman" w:hAnsi="Times New Roman" w:cs="Times New Roman"/>
          <w:sz w:val="24"/>
          <w:szCs w:val="24"/>
        </w:rPr>
        <w:t>reveal a lower level of reliability.</w:t>
      </w:r>
      <w:r>
        <w:rPr>
          <w:rStyle w:val="FootnoteReference"/>
          <w:rFonts w:ascii="Times New Roman" w:hAnsi="Times New Roman" w:cs="Times New Roman"/>
          <w:sz w:val="24"/>
          <w:szCs w:val="24"/>
        </w:rPr>
        <w:footnoteReference w:id="83"/>
      </w:r>
      <w:r w:rsidR="000035E3" w:rsidRPr="000C2492">
        <w:rPr>
          <w:rFonts w:ascii="Times New Roman" w:hAnsi="Times New Roman" w:cs="Times New Roman"/>
          <w:sz w:val="24"/>
          <w:szCs w:val="24"/>
        </w:rPr>
        <w:t xml:space="preserve"> </w:t>
      </w:r>
      <w:r w:rsidR="00BE7974">
        <w:rPr>
          <w:rFonts w:ascii="Times New Roman" w:hAnsi="Times New Roman" w:cs="Times New Roman"/>
          <w:sz w:val="24"/>
          <w:szCs w:val="24"/>
        </w:rPr>
        <w:t>Thus</w:t>
      </w:r>
      <w:r w:rsidR="00496A06">
        <w:rPr>
          <w:rFonts w:ascii="Times New Roman" w:hAnsi="Times New Roman" w:cs="Times New Roman"/>
          <w:sz w:val="24"/>
          <w:szCs w:val="24"/>
        </w:rPr>
        <w:t>, i</w:t>
      </w:r>
      <w:r w:rsidR="00CD4750" w:rsidRPr="000C2492">
        <w:rPr>
          <w:rFonts w:ascii="Times New Roman" w:hAnsi="Times New Roman" w:cs="Times New Roman"/>
          <w:sz w:val="24"/>
          <w:szCs w:val="24"/>
        </w:rPr>
        <w:t xml:space="preserve">n </w:t>
      </w:r>
      <w:r w:rsidR="00CD4750" w:rsidRPr="000C2492">
        <w:rPr>
          <w:rFonts w:ascii="Times New Roman" w:hAnsi="Times New Roman" w:cs="Times New Roman"/>
          <w:i/>
          <w:iCs/>
          <w:sz w:val="24"/>
          <w:szCs w:val="24"/>
        </w:rPr>
        <w:t>Kadar</w:t>
      </w:r>
      <w:r w:rsidR="00CD4750" w:rsidRPr="000C2492">
        <w:rPr>
          <w:rFonts w:ascii="Times New Roman" w:hAnsi="Times New Roman" w:cs="Times New Roman"/>
          <w:sz w:val="24"/>
          <w:szCs w:val="24"/>
        </w:rPr>
        <w:t>,</w:t>
      </w:r>
      <w:r w:rsidR="00CD4750" w:rsidRPr="000C2492">
        <w:rPr>
          <w:rFonts w:ascii="Times New Roman" w:hAnsi="Times New Roman" w:cs="Times New Roman"/>
          <w:i/>
          <w:iCs/>
          <w:sz w:val="24"/>
          <w:szCs w:val="24"/>
        </w:rPr>
        <w:t xml:space="preserve"> </w:t>
      </w:r>
      <w:r w:rsidR="00BE7974">
        <w:rPr>
          <w:rFonts w:ascii="Times New Roman" w:hAnsi="Times New Roman" w:cs="Times New Roman"/>
          <w:sz w:val="24"/>
          <w:szCs w:val="24"/>
        </w:rPr>
        <w:t>where the accused’s statement was recorded when he was in a state of confusion due to drug withdrawal symptoms and the stress from the interrogation,</w:t>
      </w:r>
      <w:r w:rsidR="00BE7974">
        <w:rPr>
          <w:rStyle w:val="FootnoteReference"/>
          <w:rFonts w:ascii="Times New Roman" w:hAnsi="Times New Roman" w:cs="Times New Roman"/>
          <w:sz w:val="24"/>
          <w:szCs w:val="24"/>
        </w:rPr>
        <w:footnoteReference w:id="84"/>
      </w:r>
      <w:r w:rsidR="00BE7974">
        <w:rPr>
          <w:rFonts w:ascii="Times New Roman" w:hAnsi="Times New Roman" w:cs="Times New Roman"/>
          <w:sz w:val="24"/>
          <w:szCs w:val="24"/>
        </w:rPr>
        <w:t xml:space="preserve"> the court held that even if his statements were admissible, doubt as to their reliability meant that they should be accorded little or even no weight.</w:t>
      </w:r>
      <w:r w:rsidR="00BE7974">
        <w:rPr>
          <w:rStyle w:val="FootnoteReference"/>
          <w:rFonts w:ascii="Times New Roman" w:hAnsi="Times New Roman" w:cs="Times New Roman"/>
          <w:sz w:val="24"/>
          <w:szCs w:val="24"/>
        </w:rPr>
        <w:footnoteReference w:id="85"/>
      </w:r>
      <w:r w:rsidR="00BE7974">
        <w:rPr>
          <w:rFonts w:ascii="Times New Roman" w:hAnsi="Times New Roman" w:cs="Times New Roman"/>
          <w:sz w:val="24"/>
          <w:szCs w:val="24"/>
        </w:rPr>
        <w:t xml:space="preserve">  </w:t>
      </w:r>
    </w:p>
    <w:p w14:paraId="6E80137A" w14:textId="77777777" w:rsidR="00D872BC" w:rsidRPr="000C2492" w:rsidRDefault="00D872BC" w:rsidP="000C2492">
      <w:pPr>
        <w:jc w:val="both"/>
        <w:rPr>
          <w:rFonts w:ascii="Times New Roman" w:hAnsi="Times New Roman" w:cs="Times New Roman"/>
          <w:sz w:val="24"/>
          <w:szCs w:val="24"/>
        </w:rPr>
      </w:pPr>
    </w:p>
    <w:p w14:paraId="14157280" w14:textId="1490CA54" w:rsidR="00795CC5" w:rsidRDefault="00D872BC" w:rsidP="000C2492">
      <w:pPr>
        <w:jc w:val="both"/>
        <w:rPr>
          <w:rFonts w:ascii="Times New Roman" w:hAnsi="Times New Roman" w:cs="Times New Roman"/>
          <w:sz w:val="24"/>
          <w:szCs w:val="24"/>
        </w:rPr>
      </w:pPr>
      <w:r w:rsidRPr="000C2492">
        <w:rPr>
          <w:rFonts w:ascii="Times New Roman" w:hAnsi="Times New Roman" w:cs="Times New Roman"/>
          <w:sz w:val="24"/>
          <w:szCs w:val="24"/>
        </w:rPr>
        <w:t>The content</w:t>
      </w:r>
      <w:r w:rsidR="00665117">
        <w:rPr>
          <w:rFonts w:ascii="Times New Roman" w:hAnsi="Times New Roman" w:cs="Times New Roman"/>
          <w:sz w:val="24"/>
          <w:szCs w:val="24"/>
        </w:rPr>
        <w:t>s</w:t>
      </w:r>
      <w:r w:rsidRPr="000C2492">
        <w:rPr>
          <w:rFonts w:ascii="Times New Roman" w:hAnsi="Times New Roman" w:cs="Times New Roman"/>
          <w:sz w:val="24"/>
          <w:szCs w:val="24"/>
        </w:rPr>
        <w:t xml:space="preserve"> of a statement can also affect its reliability. For example, t</w:t>
      </w:r>
      <w:r w:rsidR="00E17EC8" w:rsidRPr="000C2492">
        <w:rPr>
          <w:rFonts w:ascii="Times New Roman" w:hAnsi="Times New Roman" w:cs="Times New Roman"/>
          <w:sz w:val="24"/>
          <w:szCs w:val="24"/>
        </w:rPr>
        <w:t xml:space="preserve">he presence of inconsistencies might render statements unreliable and lower </w:t>
      </w:r>
      <w:r w:rsidR="00734EEB">
        <w:rPr>
          <w:rFonts w:ascii="Times New Roman" w:hAnsi="Times New Roman" w:cs="Times New Roman"/>
          <w:sz w:val="24"/>
          <w:szCs w:val="24"/>
        </w:rPr>
        <w:t>their</w:t>
      </w:r>
      <w:r w:rsidR="00734EEB" w:rsidRPr="000C2492">
        <w:rPr>
          <w:rFonts w:ascii="Times New Roman" w:hAnsi="Times New Roman" w:cs="Times New Roman"/>
          <w:sz w:val="24"/>
          <w:szCs w:val="24"/>
        </w:rPr>
        <w:t xml:space="preserve"> </w:t>
      </w:r>
      <w:r w:rsidR="00E17EC8" w:rsidRPr="000C2492">
        <w:rPr>
          <w:rFonts w:ascii="Times New Roman" w:hAnsi="Times New Roman" w:cs="Times New Roman"/>
          <w:sz w:val="24"/>
          <w:szCs w:val="24"/>
        </w:rPr>
        <w:t>weight</w:t>
      </w:r>
      <w:r w:rsidR="004D12EA" w:rsidRPr="000C2492">
        <w:rPr>
          <w:rFonts w:ascii="Times New Roman" w:hAnsi="Times New Roman" w:cs="Times New Roman"/>
          <w:sz w:val="24"/>
          <w:szCs w:val="24"/>
        </w:rPr>
        <w:t xml:space="preserve"> </w:t>
      </w:r>
      <w:r w:rsidR="004D12EA" w:rsidRPr="00310EBD">
        <w:rPr>
          <w:rFonts w:ascii="Times New Roman" w:hAnsi="Times New Roman" w:cs="Times New Roman"/>
          <w:sz w:val="24"/>
          <w:szCs w:val="24"/>
        </w:rPr>
        <w:t>during</w:t>
      </w:r>
      <w:r w:rsidR="004D12EA" w:rsidRPr="000C2492">
        <w:rPr>
          <w:rFonts w:ascii="Times New Roman" w:hAnsi="Times New Roman" w:cs="Times New Roman"/>
          <w:sz w:val="24"/>
          <w:szCs w:val="24"/>
        </w:rPr>
        <w:t xml:space="preserve"> trial.</w:t>
      </w:r>
      <w:r w:rsidR="00E17EC8" w:rsidRPr="000C2492">
        <w:rPr>
          <w:rFonts w:ascii="Times New Roman" w:hAnsi="Times New Roman" w:cs="Times New Roman"/>
          <w:sz w:val="24"/>
          <w:szCs w:val="24"/>
          <w:vertAlign w:val="superscript"/>
        </w:rPr>
        <w:footnoteReference w:id="86"/>
      </w:r>
      <w:r w:rsidR="004D12EA" w:rsidRPr="000C2492">
        <w:rPr>
          <w:rFonts w:ascii="Times New Roman" w:hAnsi="Times New Roman" w:cs="Times New Roman"/>
          <w:sz w:val="24"/>
          <w:szCs w:val="24"/>
        </w:rPr>
        <w:t xml:space="preserve"> </w:t>
      </w:r>
      <w:r w:rsidR="004B59A4">
        <w:rPr>
          <w:rFonts w:ascii="Times New Roman" w:hAnsi="Times New Roman" w:cs="Times New Roman"/>
          <w:sz w:val="24"/>
          <w:szCs w:val="24"/>
        </w:rPr>
        <w:t>T</w:t>
      </w:r>
      <w:r w:rsidR="004D12EA" w:rsidRPr="000C2492">
        <w:rPr>
          <w:rFonts w:ascii="Times New Roman" w:hAnsi="Times New Roman" w:cs="Times New Roman"/>
          <w:sz w:val="24"/>
          <w:szCs w:val="24"/>
        </w:rPr>
        <w:t xml:space="preserve">here are two factors affecting the weight to be accorded to inconsistent statements. The first is the </w:t>
      </w:r>
      <w:r w:rsidR="004D12EA" w:rsidRPr="00860E58">
        <w:rPr>
          <w:rFonts w:ascii="Times New Roman" w:hAnsi="Times New Roman" w:cs="Times New Roman"/>
          <w:i/>
          <w:iCs/>
          <w:sz w:val="24"/>
          <w:szCs w:val="24"/>
        </w:rPr>
        <w:t>intentionality</w:t>
      </w:r>
      <w:r w:rsidR="004D12EA" w:rsidRPr="000C2492">
        <w:rPr>
          <w:rFonts w:ascii="Times New Roman" w:hAnsi="Times New Roman" w:cs="Times New Roman"/>
          <w:sz w:val="24"/>
          <w:szCs w:val="24"/>
        </w:rPr>
        <w:t xml:space="preserve"> of the inconsistency. </w:t>
      </w:r>
      <w:r w:rsidR="00E17EC8" w:rsidRPr="000C2492">
        <w:rPr>
          <w:rFonts w:ascii="Times New Roman" w:hAnsi="Times New Roman" w:cs="Times New Roman"/>
          <w:sz w:val="24"/>
          <w:szCs w:val="24"/>
        </w:rPr>
        <w:t>If the inconsistency is a genuine mistake, its weight will likely not be lowered.</w:t>
      </w:r>
      <w:r w:rsidR="00E17EC8" w:rsidRPr="000C2492">
        <w:rPr>
          <w:rFonts w:ascii="Times New Roman" w:hAnsi="Times New Roman" w:cs="Times New Roman"/>
          <w:sz w:val="24"/>
          <w:szCs w:val="24"/>
          <w:vertAlign w:val="superscript"/>
        </w:rPr>
        <w:footnoteReference w:id="87"/>
      </w:r>
      <w:r w:rsidR="00E17EC8" w:rsidRPr="000C2492">
        <w:rPr>
          <w:rFonts w:ascii="Times New Roman" w:hAnsi="Times New Roman" w:cs="Times New Roman"/>
          <w:sz w:val="24"/>
          <w:szCs w:val="24"/>
        </w:rPr>
        <w:t xml:space="preserve"> In contrast, </w:t>
      </w:r>
      <w:r w:rsidR="00AC0908" w:rsidRPr="000C2492">
        <w:rPr>
          <w:rFonts w:ascii="Times New Roman" w:hAnsi="Times New Roman" w:cs="Times New Roman"/>
          <w:sz w:val="24"/>
          <w:szCs w:val="24"/>
        </w:rPr>
        <w:t>deli</w:t>
      </w:r>
      <w:r w:rsidR="00801BF5" w:rsidRPr="000C2492">
        <w:rPr>
          <w:rFonts w:ascii="Times New Roman" w:hAnsi="Times New Roman" w:cs="Times New Roman"/>
          <w:sz w:val="24"/>
          <w:szCs w:val="24"/>
        </w:rPr>
        <w:t>berate</w:t>
      </w:r>
      <w:r w:rsidR="00AC0908" w:rsidRPr="000C2492">
        <w:rPr>
          <w:rFonts w:ascii="Times New Roman" w:hAnsi="Times New Roman" w:cs="Times New Roman"/>
          <w:sz w:val="24"/>
          <w:szCs w:val="24"/>
        </w:rPr>
        <w:t xml:space="preserve"> </w:t>
      </w:r>
      <w:r w:rsidR="00E17EC8" w:rsidRPr="000C2492">
        <w:rPr>
          <w:rFonts w:ascii="Times New Roman" w:hAnsi="Times New Roman" w:cs="Times New Roman"/>
          <w:sz w:val="24"/>
          <w:szCs w:val="24"/>
        </w:rPr>
        <w:t xml:space="preserve">lies in a statement can show that the person giving the statement is not </w:t>
      </w:r>
      <w:r w:rsidR="004D12EA" w:rsidRPr="000C2492">
        <w:rPr>
          <w:rFonts w:ascii="Times New Roman" w:hAnsi="Times New Roman" w:cs="Times New Roman"/>
          <w:sz w:val="24"/>
          <w:szCs w:val="24"/>
        </w:rPr>
        <w:t>credible</w:t>
      </w:r>
      <w:r w:rsidR="00E17EC8" w:rsidRPr="000C2492">
        <w:rPr>
          <w:rFonts w:ascii="Times New Roman" w:hAnsi="Times New Roman" w:cs="Times New Roman"/>
          <w:sz w:val="24"/>
          <w:szCs w:val="24"/>
        </w:rPr>
        <w:t xml:space="preserve">. His/her statements might </w:t>
      </w:r>
      <w:r w:rsidR="004F4D37" w:rsidRPr="000C2492">
        <w:rPr>
          <w:rFonts w:ascii="Times New Roman" w:hAnsi="Times New Roman" w:cs="Times New Roman"/>
          <w:sz w:val="24"/>
          <w:szCs w:val="24"/>
        </w:rPr>
        <w:t xml:space="preserve">then </w:t>
      </w:r>
      <w:r w:rsidR="00E17EC8" w:rsidRPr="000C2492">
        <w:rPr>
          <w:rFonts w:ascii="Times New Roman" w:hAnsi="Times New Roman" w:cs="Times New Roman"/>
          <w:sz w:val="24"/>
          <w:szCs w:val="24"/>
        </w:rPr>
        <w:t>be treated with caution or disbelieved, and other evidence might be preferred over his/her statements.</w:t>
      </w:r>
      <w:r w:rsidR="00E17EC8" w:rsidRPr="000C2492">
        <w:rPr>
          <w:rFonts w:ascii="Times New Roman" w:hAnsi="Times New Roman" w:cs="Times New Roman"/>
          <w:sz w:val="24"/>
          <w:szCs w:val="24"/>
          <w:vertAlign w:val="superscript"/>
        </w:rPr>
        <w:footnoteReference w:id="88"/>
      </w:r>
    </w:p>
    <w:p w14:paraId="77291E31" w14:textId="7F782520" w:rsidR="00795CC5" w:rsidRDefault="00795CC5" w:rsidP="000C2492">
      <w:pPr>
        <w:jc w:val="both"/>
        <w:rPr>
          <w:rFonts w:ascii="Times New Roman" w:hAnsi="Times New Roman" w:cs="Times New Roman"/>
          <w:sz w:val="24"/>
          <w:szCs w:val="24"/>
        </w:rPr>
      </w:pPr>
    </w:p>
    <w:p w14:paraId="64C68441" w14:textId="46BB0DB9" w:rsidR="00E17EC8" w:rsidRPr="000C2492" w:rsidRDefault="00A007E5" w:rsidP="000C2492">
      <w:pPr>
        <w:jc w:val="both"/>
        <w:rPr>
          <w:rFonts w:ascii="Times New Roman" w:hAnsi="Times New Roman" w:cs="Times New Roman"/>
          <w:sz w:val="24"/>
          <w:szCs w:val="24"/>
        </w:rPr>
      </w:pPr>
      <w:r w:rsidRPr="000C2492">
        <w:rPr>
          <w:rFonts w:ascii="Times New Roman" w:hAnsi="Times New Roman" w:cs="Times New Roman"/>
          <w:sz w:val="24"/>
          <w:szCs w:val="24"/>
        </w:rPr>
        <w:t xml:space="preserve">The second factor is the </w:t>
      </w:r>
      <w:r w:rsidRPr="00860E58">
        <w:rPr>
          <w:rFonts w:ascii="Times New Roman" w:hAnsi="Times New Roman" w:cs="Times New Roman"/>
          <w:i/>
          <w:iCs/>
          <w:sz w:val="24"/>
          <w:szCs w:val="24"/>
        </w:rPr>
        <w:t>materiality</w:t>
      </w:r>
      <w:r w:rsidRPr="000C2492">
        <w:rPr>
          <w:rFonts w:ascii="Times New Roman" w:hAnsi="Times New Roman" w:cs="Times New Roman"/>
          <w:sz w:val="24"/>
          <w:szCs w:val="24"/>
        </w:rPr>
        <w:t xml:space="preserve"> of the inconsistency. </w:t>
      </w:r>
      <w:r w:rsidR="00E17EC8" w:rsidRPr="000C2492">
        <w:rPr>
          <w:rFonts w:ascii="Times New Roman" w:hAnsi="Times New Roman" w:cs="Times New Roman"/>
          <w:sz w:val="24"/>
          <w:szCs w:val="24"/>
        </w:rPr>
        <w:t xml:space="preserve">If the core or crux </w:t>
      </w:r>
      <w:r w:rsidR="005A5B37" w:rsidRPr="000C2492">
        <w:rPr>
          <w:rFonts w:ascii="Times New Roman" w:hAnsi="Times New Roman" w:cs="Times New Roman"/>
          <w:sz w:val="24"/>
          <w:szCs w:val="24"/>
        </w:rPr>
        <w:t xml:space="preserve">of the statement </w:t>
      </w:r>
      <w:r w:rsidR="00E17EC8" w:rsidRPr="000C2492">
        <w:rPr>
          <w:rFonts w:ascii="Times New Roman" w:hAnsi="Times New Roman" w:cs="Times New Roman"/>
          <w:sz w:val="24"/>
          <w:szCs w:val="24"/>
        </w:rPr>
        <w:t>are not affected by these inconsistencies, full weight might still be given</w:t>
      </w:r>
      <w:r w:rsidR="00AC67E4" w:rsidRPr="000C2492">
        <w:rPr>
          <w:rFonts w:ascii="Times New Roman" w:hAnsi="Times New Roman" w:cs="Times New Roman"/>
          <w:sz w:val="24"/>
          <w:szCs w:val="24"/>
        </w:rPr>
        <w:t xml:space="preserve"> to the statement</w:t>
      </w:r>
      <w:r w:rsidR="00E17EC8" w:rsidRPr="000C2492">
        <w:rPr>
          <w:rFonts w:ascii="Times New Roman" w:hAnsi="Times New Roman" w:cs="Times New Roman"/>
          <w:sz w:val="24"/>
          <w:szCs w:val="24"/>
        </w:rPr>
        <w:t>.</w:t>
      </w:r>
      <w:r w:rsidR="00E17EC8" w:rsidRPr="000C2492">
        <w:rPr>
          <w:rFonts w:ascii="Times New Roman" w:hAnsi="Times New Roman" w:cs="Times New Roman"/>
          <w:sz w:val="24"/>
          <w:szCs w:val="24"/>
          <w:vertAlign w:val="superscript"/>
        </w:rPr>
        <w:footnoteReference w:id="89"/>
      </w:r>
      <w:r w:rsidR="00E17EC8" w:rsidRPr="000C2492">
        <w:rPr>
          <w:rFonts w:ascii="Times New Roman" w:hAnsi="Times New Roman" w:cs="Times New Roman"/>
          <w:sz w:val="24"/>
          <w:szCs w:val="24"/>
        </w:rPr>
        <w:t xml:space="preserve"> </w:t>
      </w:r>
      <w:r w:rsidR="00B000B3" w:rsidRPr="000C2492">
        <w:rPr>
          <w:rFonts w:ascii="Times New Roman" w:hAnsi="Times New Roman" w:cs="Times New Roman"/>
          <w:sz w:val="24"/>
          <w:szCs w:val="24"/>
        </w:rPr>
        <w:lastRenderedPageBreak/>
        <w:t>Courts are entitled to accept one part of the statement and reject another part of it</w:t>
      </w:r>
      <w:r w:rsidR="0049691A" w:rsidRPr="000C2492">
        <w:rPr>
          <w:rFonts w:ascii="Times New Roman" w:hAnsi="Times New Roman" w:cs="Times New Roman"/>
          <w:sz w:val="24"/>
          <w:szCs w:val="24"/>
        </w:rPr>
        <w:t>.</w:t>
      </w:r>
      <w:r w:rsidR="00B000B3" w:rsidRPr="000C2492">
        <w:rPr>
          <w:rFonts w:ascii="Times New Roman" w:hAnsi="Times New Roman" w:cs="Times New Roman"/>
          <w:sz w:val="24"/>
          <w:szCs w:val="24"/>
          <w:vertAlign w:val="superscript"/>
        </w:rPr>
        <w:footnoteReference w:id="90"/>
      </w:r>
      <w:r w:rsidR="00B000B3" w:rsidRPr="000C2492">
        <w:rPr>
          <w:rFonts w:ascii="Times New Roman" w:hAnsi="Times New Roman" w:cs="Times New Roman"/>
          <w:sz w:val="24"/>
          <w:szCs w:val="24"/>
        </w:rPr>
        <w:t xml:space="preserve"> </w:t>
      </w:r>
      <w:r w:rsidR="00DE0C3C" w:rsidRPr="000C2492">
        <w:rPr>
          <w:rFonts w:ascii="Times New Roman" w:hAnsi="Times New Roman" w:cs="Times New Roman"/>
          <w:sz w:val="24"/>
          <w:szCs w:val="24"/>
        </w:rPr>
        <w:t>T</w:t>
      </w:r>
      <w:r w:rsidR="00AD25AC" w:rsidRPr="000C2492">
        <w:rPr>
          <w:rFonts w:ascii="Times New Roman" w:hAnsi="Times New Roman" w:cs="Times New Roman"/>
          <w:sz w:val="24"/>
          <w:szCs w:val="24"/>
        </w:rPr>
        <w:t xml:space="preserve">hese </w:t>
      </w:r>
      <w:r w:rsidR="00E46A05" w:rsidRPr="000C2492">
        <w:rPr>
          <w:rFonts w:ascii="Times New Roman" w:hAnsi="Times New Roman" w:cs="Times New Roman"/>
          <w:sz w:val="24"/>
          <w:szCs w:val="24"/>
        </w:rPr>
        <w:t xml:space="preserve">factors </w:t>
      </w:r>
      <w:r w:rsidR="00AD25AC" w:rsidRPr="000C2492">
        <w:rPr>
          <w:rFonts w:ascii="Times New Roman" w:hAnsi="Times New Roman" w:cs="Times New Roman"/>
          <w:sz w:val="24"/>
          <w:szCs w:val="24"/>
        </w:rPr>
        <w:t>show that the</w:t>
      </w:r>
      <w:r w:rsidR="00E17EC8" w:rsidRPr="000C2492">
        <w:rPr>
          <w:rFonts w:ascii="Times New Roman" w:hAnsi="Times New Roman" w:cs="Times New Roman"/>
          <w:sz w:val="24"/>
          <w:szCs w:val="24"/>
        </w:rPr>
        <w:t xml:space="preserve"> general veracity</w:t>
      </w:r>
      <w:r w:rsidR="00DE0C3C" w:rsidRPr="000C2492">
        <w:rPr>
          <w:rFonts w:ascii="Times New Roman" w:hAnsi="Times New Roman" w:cs="Times New Roman"/>
          <w:sz w:val="24"/>
          <w:szCs w:val="24"/>
        </w:rPr>
        <w:t xml:space="preserve"> (and hence, weight)</w:t>
      </w:r>
      <w:r w:rsidR="00E17EC8" w:rsidRPr="000C2492">
        <w:rPr>
          <w:rFonts w:ascii="Times New Roman" w:hAnsi="Times New Roman" w:cs="Times New Roman"/>
          <w:sz w:val="24"/>
          <w:szCs w:val="24"/>
        </w:rPr>
        <w:t xml:space="preserve"> of the statements will </w:t>
      </w:r>
      <w:r w:rsidR="005A5D55" w:rsidRPr="000C2492">
        <w:rPr>
          <w:rFonts w:ascii="Times New Roman" w:hAnsi="Times New Roman" w:cs="Times New Roman"/>
          <w:sz w:val="24"/>
          <w:szCs w:val="24"/>
        </w:rPr>
        <w:t xml:space="preserve">ultimately </w:t>
      </w:r>
      <w:r w:rsidR="00E17EC8" w:rsidRPr="000C2492">
        <w:rPr>
          <w:rFonts w:ascii="Times New Roman" w:hAnsi="Times New Roman" w:cs="Times New Roman"/>
          <w:sz w:val="24"/>
          <w:szCs w:val="24"/>
        </w:rPr>
        <w:t>have to be assessed in their entirety.</w:t>
      </w:r>
      <w:r w:rsidR="00E17EC8" w:rsidRPr="000C2492">
        <w:rPr>
          <w:rFonts w:ascii="Times New Roman" w:hAnsi="Times New Roman" w:cs="Times New Roman"/>
          <w:sz w:val="24"/>
          <w:szCs w:val="24"/>
          <w:vertAlign w:val="superscript"/>
        </w:rPr>
        <w:footnoteReference w:id="91"/>
      </w:r>
    </w:p>
    <w:p w14:paraId="42F9F3CE" w14:textId="0A0B06CC" w:rsidR="00A018B2" w:rsidRPr="000C2492" w:rsidRDefault="00A018B2" w:rsidP="000C2492">
      <w:pPr>
        <w:jc w:val="both"/>
        <w:rPr>
          <w:rFonts w:ascii="Times New Roman" w:hAnsi="Times New Roman" w:cs="Times New Roman"/>
          <w:sz w:val="24"/>
          <w:szCs w:val="24"/>
        </w:rPr>
      </w:pPr>
    </w:p>
    <w:p w14:paraId="04E9EE49" w14:textId="348B2C20" w:rsidR="00D43112" w:rsidRPr="000C2492" w:rsidRDefault="00D53A89" w:rsidP="000C2492">
      <w:pPr>
        <w:jc w:val="both"/>
        <w:rPr>
          <w:rFonts w:ascii="Times New Roman" w:hAnsi="Times New Roman" w:cs="Times New Roman"/>
          <w:sz w:val="24"/>
          <w:szCs w:val="24"/>
        </w:rPr>
      </w:pPr>
      <w:r w:rsidRPr="000C2492">
        <w:rPr>
          <w:rFonts w:ascii="Times New Roman" w:hAnsi="Times New Roman" w:cs="Times New Roman"/>
          <w:sz w:val="24"/>
          <w:szCs w:val="24"/>
        </w:rPr>
        <w:t xml:space="preserve">On </w:t>
      </w:r>
      <w:r w:rsidR="00CB6B34">
        <w:rPr>
          <w:rFonts w:ascii="Times New Roman" w:hAnsi="Times New Roman" w:cs="Times New Roman"/>
          <w:sz w:val="24"/>
          <w:szCs w:val="24"/>
        </w:rPr>
        <w:t>a related</w:t>
      </w:r>
      <w:r w:rsidR="00CB6B34" w:rsidRPr="000C2492">
        <w:rPr>
          <w:rFonts w:ascii="Times New Roman" w:hAnsi="Times New Roman" w:cs="Times New Roman"/>
          <w:sz w:val="24"/>
          <w:szCs w:val="24"/>
        </w:rPr>
        <w:t xml:space="preserve"> </w:t>
      </w:r>
      <w:r w:rsidRPr="000C2492">
        <w:rPr>
          <w:rFonts w:ascii="Times New Roman" w:hAnsi="Times New Roman" w:cs="Times New Roman"/>
          <w:sz w:val="24"/>
          <w:szCs w:val="24"/>
        </w:rPr>
        <w:t>note</w:t>
      </w:r>
      <w:r w:rsidR="00BD399B">
        <w:rPr>
          <w:rFonts w:ascii="Times New Roman" w:hAnsi="Times New Roman" w:cs="Times New Roman"/>
          <w:sz w:val="24"/>
          <w:szCs w:val="24"/>
        </w:rPr>
        <w:t>:</w:t>
      </w:r>
      <w:r w:rsidRPr="000C2492">
        <w:rPr>
          <w:rFonts w:ascii="Times New Roman" w:hAnsi="Times New Roman" w:cs="Times New Roman"/>
          <w:sz w:val="24"/>
          <w:szCs w:val="24"/>
        </w:rPr>
        <w:t xml:space="preserve"> t</w:t>
      </w:r>
      <w:r w:rsidR="00665F91" w:rsidRPr="000C2492">
        <w:rPr>
          <w:rFonts w:ascii="Times New Roman" w:hAnsi="Times New Roman" w:cs="Times New Roman"/>
          <w:sz w:val="24"/>
          <w:szCs w:val="24"/>
        </w:rPr>
        <w:t>he content</w:t>
      </w:r>
      <w:r w:rsidR="00665117">
        <w:rPr>
          <w:rFonts w:ascii="Times New Roman" w:hAnsi="Times New Roman" w:cs="Times New Roman"/>
          <w:sz w:val="24"/>
          <w:szCs w:val="24"/>
        </w:rPr>
        <w:t>s</w:t>
      </w:r>
      <w:r w:rsidR="00665F91" w:rsidRPr="000C2492">
        <w:rPr>
          <w:rFonts w:ascii="Times New Roman" w:hAnsi="Times New Roman" w:cs="Times New Roman"/>
          <w:sz w:val="24"/>
          <w:szCs w:val="24"/>
        </w:rPr>
        <w:t xml:space="preserve"> of a statement</w:t>
      </w:r>
      <w:r w:rsidR="00982DC1" w:rsidRPr="000C2492">
        <w:rPr>
          <w:rFonts w:ascii="Times New Roman" w:hAnsi="Times New Roman" w:cs="Times New Roman"/>
          <w:sz w:val="24"/>
          <w:szCs w:val="24"/>
        </w:rPr>
        <w:t>s</w:t>
      </w:r>
      <w:r w:rsidR="00665F91" w:rsidRPr="000C2492">
        <w:rPr>
          <w:rFonts w:ascii="Times New Roman" w:hAnsi="Times New Roman" w:cs="Times New Roman"/>
          <w:sz w:val="24"/>
          <w:szCs w:val="24"/>
        </w:rPr>
        <w:t xml:space="preserve"> can also </w:t>
      </w:r>
      <w:r w:rsidR="00982DC1" w:rsidRPr="000C2492">
        <w:rPr>
          <w:rFonts w:ascii="Times New Roman" w:hAnsi="Times New Roman" w:cs="Times New Roman"/>
          <w:sz w:val="24"/>
          <w:szCs w:val="24"/>
        </w:rPr>
        <w:t>support</w:t>
      </w:r>
      <w:r w:rsidR="007E162E" w:rsidRPr="000C2492">
        <w:rPr>
          <w:rFonts w:ascii="Times New Roman" w:hAnsi="Times New Roman" w:cs="Times New Roman"/>
          <w:sz w:val="24"/>
          <w:szCs w:val="24"/>
        </w:rPr>
        <w:t xml:space="preserve"> a conviction while not strictly increasing its weight</w:t>
      </w:r>
      <w:r w:rsidR="008A3A8A">
        <w:rPr>
          <w:rFonts w:ascii="Times New Roman" w:hAnsi="Times New Roman" w:cs="Times New Roman"/>
          <w:sz w:val="24"/>
          <w:szCs w:val="24"/>
        </w:rPr>
        <w:t xml:space="preserve"> as evidence</w:t>
      </w:r>
      <w:r w:rsidR="007E162E" w:rsidRPr="000C2492">
        <w:rPr>
          <w:rFonts w:ascii="Times New Roman" w:hAnsi="Times New Roman" w:cs="Times New Roman"/>
          <w:sz w:val="24"/>
          <w:szCs w:val="24"/>
        </w:rPr>
        <w:t xml:space="preserve">. For example, </w:t>
      </w:r>
      <w:r w:rsidR="00D872BC" w:rsidRPr="000C2492">
        <w:rPr>
          <w:rFonts w:ascii="Times New Roman" w:hAnsi="Times New Roman" w:cs="Times New Roman"/>
          <w:sz w:val="24"/>
          <w:szCs w:val="24"/>
        </w:rPr>
        <w:t>l</w:t>
      </w:r>
      <w:r w:rsidR="00C20D07" w:rsidRPr="000C2492">
        <w:rPr>
          <w:rFonts w:ascii="Times New Roman" w:hAnsi="Times New Roman" w:cs="Times New Roman"/>
          <w:sz w:val="24"/>
          <w:szCs w:val="24"/>
        </w:rPr>
        <w:t>ying</w:t>
      </w:r>
      <w:r w:rsidR="00C609DA" w:rsidRPr="000C2492">
        <w:rPr>
          <w:rFonts w:ascii="Times New Roman" w:hAnsi="Times New Roman" w:cs="Times New Roman"/>
          <w:sz w:val="24"/>
          <w:szCs w:val="24"/>
        </w:rPr>
        <w:t xml:space="preserve"> in a statement </w:t>
      </w:r>
      <w:r w:rsidR="00CA62EA" w:rsidRPr="000C2492">
        <w:rPr>
          <w:rFonts w:ascii="Times New Roman" w:hAnsi="Times New Roman" w:cs="Times New Roman"/>
          <w:sz w:val="24"/>
          <w:szCs w:val="24"/>
        </w:rPr>
        <w:t xml:space="preserve">can </w:t>
      </w:r>
      <w:r w:rsidR="00E17EC8" w:rsidRPr="000C2492">
        <w:rPr>
          <w:rFonts w:ascii="Times New Roman" w:hAnsi="Times New Roman" w:cs="Times New Roman"/>
          <w:sz w:val="24"/>
          <w:szCs w:val="24"/>
        </w:rPr>
        <w:t>invite adverse inferences and thereby corroborate guilt.</w:t>
      </w:r>
      <w:r w:rsidR="00E17EC8" w:rsidRPr="000C2492">
        <w:rPr>
          <w:rFonts w:ascii="Times New Roman" w:hAnsi="Times New Roman" w:cs="Times New Roman"/>
          <w:sz w:val="24"/>
          <w:szCs w:val="24"/>
          <w:vertAlign w:val="superscript"/>
        </w:rPr>
        <w:footnoteReference w:id="92"/>
      </w:r>
      <w:r w:rsidR="00E17EC8" w:rsidRPr="000C2492">
        <w:rPr>
          <w:rFonts w:ascii="Times New Roman" w:hAnsi="Times New Roman" w:cs="Times New Roman"/>
          <w:sz w:val="24"/>
          <w:szCs w:val="24"/>
        </w:rPr>
        <w:t xml:space="preserve"> This will be the case if a statement was deliberately made, relates to a material issue, is clearly shown to be false by independent evidence, and the motive for the statement/lie was the realisation of guilt and fear of the truth.</w:t>
      </w:r>
      <w:r w:rsidR="00E17EC8" w:rsidRPr="000C2492">
        <w:rPr>
          <w:rFonts w:ascii="Times New Roman" w:hAnsi="Times New Roman" w:cs="Times New Roman"/>
          <w:sz w:val="24"/>
          <w:szCs w:val="24"/>
          <w:vertAlign w:val="superscript"/>
        </w:rPr>
        <w:footnoteReference w:id="93"/>
      </w:r>
      <w:r w:rsidR="00A769AD" w:rsidRPr="000C2492">
        <w:rPr>
          <w:rFonts w:ascii="Times New Roman" w:hAnsi="Times New Roman" w:cs="Times New Roman"/>
          <w:sz w:val="24"/>
          <w:szCs w:val="24"/>
        </w:rPr>
        <w:t xml:space="preserve"> In </w:t>
      </w:r>
      <w:r w:rsidR="00A769AD" w:rsidRPr="000C2492">
        <w:rPr>
          <w:rFonts w:ascii="Times New Roman" w:hAnsi="Times New Roman" w:cs="Times New Roman"/>
          <w:i/>
          <w:iCs/>
          <w:sz w:val="24"/>
          <w:szCs w:val="24"/>
        </w:rPr>
        <w:t>P</w:t>
      </w:r>
      <w:r w:rsidR="007E29CD">
        <w:rPr>
          <w:rFonts w:ascii="Times New Roman" w:hAnsi="Times New Roman" w:cs="Times New Roman"/>
          <w:i/>
          <w:iCs/>
          <w:sz w:val="24"/>
          <w:szCs w:val="24"/>
        </w:rPr>
        <w:t xml:space="preserve">ublic </w:t>
      </w:r>
      <w:r w:rsidR="00A769AD" w:rsidRPr="000C2492">
        <w:rPr>
          <w:rFonts w:ascii="Times New Roman" w:hAnsi="Times New Roman" w:cs="Times New Roman"/>
          <w:i/>
          <w:iCs/>
          <w:sz w:val="24"/>
          <w:szCs w:val="24"/>
        </w:rPr>
        <w:t>P</w:t>
      </w:r>
      <w:r w:rsidR="007E29CD">
        <w:rPr>
          <w:rFonts w:ascii="Times New Roman" w:hAnsi="Times New Roman" w:cs="Times New Roman"/>
          <w:i/>
          <w:iCs/>
          <w:sz w:val="24"/>
          <w:szCs w:val="24"/>
        </w:rPr>
        <w:t>rosecutor</w:t>
      </w:r>
      <w:r w:rsidR="00A769AD" w:rsidRPr="000C2492">
        <w:rPr>
          <w:rFonts w:ascii="Times New Roman" w:hAnsi="Times New Roman" w:cs="Times New Roman"/>
          <w:i/>
          <w:iCs/>
          <w:sz w:val="24"/>
          <w:szCs w:val="24"/>
        </w:rPr>
        <w:t xml:space="preserve"> v </w:t>
      </w:r>
      <w:proofErr w:type="spellStart"/>
      <w:r w:rsidR="00A769AD" w:rsidRPr="000C2492">
        <w:rPr>
          <w:rFonts w:ascii="Times New Roman" w:hAnsi="Times New Roman" w:cs="Times New Roman"/>
          <w:i/>
          <w:iCs/>
          <w:sz w:val="24"/>
          <w:szCs w:val="24"/>
        </w:rPr>
        <w:t>Ilechukwu</w:t>
      </w:r>
      <w:proofErr w:type="spellEnd"/>
      <w:r w:rsidR="00A769AD" w:rsidRPr="000C2492">
        <w:rPr>
          <w:rFonts w:ascii="Times New Roman" w:hAnsi="Times New Roman" w:cs="Times New Roman"/>
          <w:i/>
          <w:iCs/>
          <w:sz w:val="24"/>
          <w:szCs w:val="24"/>
        </w:rPr>
        <w:t xml:space="preserve"> </w:t>
      </w:r>
      <w:proofErr w:type="spellStart"/>
      <w:r w:rsidR="00A769AD" w:rsidRPr="000C2492">
        <w:rPr>
          <w:rFonts w:ascii="Times New Roman" w:hAnsi="Times New Roman" w:cs="Times New Roman"/>
          <w:i/>
          <w:iCs/>
          <w:sz w:val="24"/>
          <w:szCs w:val="24"/>
        </w:rPr>
        <w:t>Uchechukwu</w:t>
      </w:r>
      <w:proofErr w:type="spellEnd"/>
      <w:r w:rsidR="00A769AD" w:rsidRPr="000C2492">
        <w:rPr>
          <w:rFonts w:ascii="Times New Roman" w:hAnsi="Times New Roman" w:cs="Times New Roman"/>
          <w:i/>
          <w:iCs/>
          <w:sz w:val="24"/>
          <w:szCs w:val="24"/>
        </w:rPr>
        <w:t xml:space="preserve"> </w:t>
      </w:r>
      <w:proofErr w:type="spellStart"/>
      <w:r w:rsidR="00A769AD" w:rsidRPr="000C2492">
        <w:rPr>
          <w:rFonts w:ascii="Times New Roman" w:hAnsi="Times New Roman" w:cs="Times New Roman"/>
          <w:i/>
          <w:iCs/>
          <w:sz w:val="24"/>
          <w:szCs w:val="24"/>
        </w:rPr>
        <w:t>Chukwudi</w:t>
      </w:r>
      <w:proofErr w:type="spellEnd"/>
      <w:r w:rsidR="00A769AD" w:rsidRPr="000C2492">
        <w:rPr>
          <w:rFonts w:ascii="Times New Roman" w:hAnsi="Times New Roman" w:cs="Times New Roman"/>
          <w:sz w:val="24"/>
          <w:szCs w:val="24"/>
        </w:rPr>
        <w:t xml:space="preserve">, the accused had deliberately lied to distance himself from drugs in his possession that he knew about. The court found his excuses were “wholly unsatisfactory and unbelievable”, </w:t>
      </w:r>
      <w:r w:rsidR="0091439D">
        <w:rPr>
          <w:rFonts w:ascii="Times New Roman" w:hAnsi="Times New Roman" w:cs="Times New Roman"/>
          <w:sz w:val="24"/>
          <w:szCs w:val="24"/>
        </w:rPr>
        <w:t>with</w:t>
      </w:r>
      <w:r w:rsidR="00A769AD" w:rsidRPr="000C2492">
        <w:rPr>
          <w:rFonts w:ascii="Times New Roman" w:hAnsi="Times New Roman" w:cs="Times New Roman"/>
          <w:sz w:val="24"/>
          <w:szCs w:val="24"/>
        </w:rPr>
        <w:t xml:space="preserve"> no acceptable explanation for the lies except for him realising his guilt.</w:t>
      </w:r>
      <w:r w:rsidR="00F111BE" w:rsidRPr="000C2492">
        <w:rPr>
          <w:rFonts w:ascii="Times New Roman" w:hAnsi="Times New Roman" w:cs="Times New Roman"/>
          <w:sz w:val="24"/>
          <w:szCs w:val="24"/>
        </w:rPr>
        <w:t xml:space="preserve"> Therefore, </w:t>
      </w:r>
      <w:r w:rsidR="00E95D7E">
        <w:rPr>
          <w:rFonts w:ascii="Times New Roman" w:hAnsi="Times New Roman" w:cs="Times New Roman"/>
          <w:sz w:val="24"/>
          <w:szCs w:val="24"/>
        </w:rPr>
        <w:t>the court</w:t>
      </w:r>
      <w:r w:rsidR="00EA35CA" w:rsidRPr="000C2492">
        <w:rPr>
          <w:rFonts w:ascii="Times New Roman" w:hAnsi="Times New Roman" w:cs="Times New Roman"/>
          <w:sz w:val="24"/>
          <w:szCs w:val="24"/>
        </w:rPr>
        <w:t xml:space="preserve"> </w:t>
      </w:r>
      <w:r w:rsidR="00F111BE" w:rsidRPr="000C2492">
        <w:rPr>
          <w:rFonts w:ascii="Times New Roman" w:hAnsi="Times New Roman" w:cs="Times New Roman"/>
          <w:sz w:val="24"/>
          <w:szCs w:val="24"/>
        </w:rPr>
        <w:t>found that an adverse inference could be drawn against him.</w:t>
      </w:r>
      <w:r w:rsidR="00A769AD" w:rsidRPr="000C2492">
        <w:rPr>
          <w:rStyle w:val="FootnoteReference"/>
          <w:rFonts w:ascii="Times New Roman" w:hAnsi="Times New Roman" w:cs="Times New Roman"/>
          <w:sz w:val="24"/>
          <w:szCs w:val="24"/>
        </w:rPr>
        <w:footnoteReference w:id="94"/>
      </w:r>
    </w:p>
    <w:p w14:paraId="1E02759B" w14:textId="77777777" w:rsidR="00900EBE" w:rsidRPr="000C2492" w:rsidRDefault="00900EBE" w:rsidP="000C2492">
      <w:pPr>
        <w:jc w:val="both"/>
        <w:rPr>
          <w:rFonts w:ascii="Times New Roman" w:hAnsi="Times New Roman" w:cs="Times New Roman"/>
          <w:sz w:val="24"/>
          <w:szCs w:val="24"/>
        </w:rPr>
      </w:pPr>
    </w:p>
    <w:p w14:paraId="5EAE7593" w14:textId="2948BFA2" w:rsidR="007F6CDA" w:rsidRDefault="00BD399B" w:rsidP="000C2492">
      <w:pPr>
        <w:jc w:val="both"/>
        <w:rPr>
          <w:rFonts w:ascii="Times New Roman" w:hAnsi="Times New Roman" w:cs="Times New Roman"/>
          <w:sz w:val="24"/>
          <w:szCs w:val="24"/>
        </w:rPr>
      </w:pPr>
      <w:r>
        <w:rPr>
          <w:rFonts w:ascii="Times New Roman" w:hAnsi="Times New Roman" w:cs="Times New Roman"/>
          <w:sz w:val="24"/>
          <w:szCs w:val="24"/>
        </w:rPr>
        <w:t>Finally</w:t>
      </w:r>
      <w:r w:rsidR="00E17EC8" w:rsidRPr="000C2492">
        <w:rPr>
          <w:rFonts w:ascii="Times New Roman" w:hAnsi="Times New Roman" w:cs="Times New Roman"/>
          <w:sz w:val="24"/>
          <w:szCs w:val="24"/>
        </w:rPr>
        <w:t xml:space="preserve">, </w:t>
      </w:r>
      <w:r>
        <w:rPr>
          <w:rFonts w:ascii="Times New Roman" w:hAnsi="Times New Roman" w:cs="Times New Roman"/>
          <w:sz w:val="24"/>
          <w:szCs w:val="24"/>
        </w:rPr>
        <w:t xml:space="preserve">what is </w:t>
      </w:r>
      <w:r>
        <w:rPr>
          <w:rFonts w:ascii="Times New Roman" w:hAnsi="Times New Roman" w:cs="Times New Roman"/>
          <w:i/>
          <w:iCs/>
          <w:sz w:val="24"/>
          <w:szCs w:val="24"/>
        </w:rPr>
        <w:t>absent</w:t>
      </w:r>
      <w:r w:rsidR="00E17EC8" w:rsidRPr="000C2492">
        <w:rPr>
          <w:rFonts w:ascii="Times New Roman" w:hAnsi="Times New Roman" w:cs="Times New Roman"/>
          <w:sz w:val="24"/>
          <w:szCs w:val="24"/>
        </w:rPr>
        <w:t xml:space="preserve"> in a statement </w:t>
      </w:r>
      <w:r>
        <w:rPr>
          <w:rFonts w:ascii="Times New Roman" w:hAnsi="Times New Roman" w:cs="Times New Roman"/>
          <w:sz w:val="24"/>
          <w:szCs w:val="24"/>
        </w:rPr>
        <w:t>also</w:t>
      </w:r>
      <w:r w:rsidRPr="000C2492">
        <w:rPr>
          <w:rFonts w:ascii="Times New Roman" w:hAnsi="Times New Roman" w:cs="Times New Roman"/>
          <w:sz w:val="24"/>
          <w:szCs w:val="24"/>
        </w:rPr>
        <w:t xml:space="preserve"> </w:t>
      </w:r>
      <w:r w:rsidR="00575C82">
        <w:rPr>
          <w:rFonts w:ascii="Times New Roman" w:hAnsi="Times New Roman" w:cs="Times New Roman"/>
          <w:sz w:val="24"/>
          <w:szCs w:val="24"/>
        </w:rPr>
        <w:t>matters</w:t>
      </w:r>
      <w:r w:rsidR="00E17EC8" w:rsidRPr="000C2492">
        <w:rPr>
          <w:rFonts w:ascii="Times New Roman" w:hAnsi="Times New Roman" w:cs="Times New Roman"/>
          <w:sz w:val="24"/>
          <w:szCs w:val="24"/>
        </w:rPr>
        <w:t>. The CPC allows a court to draw adverse inferences if the accused fails to mention any fact or circumstance in his/her cautioned statement that he subsequently relies on.</w:t>
      </w:r>
      <w:r w:rsidR="00E17EC8" w:rsidRPr="000C2492">
        <w:rPr>
          <w:rFonts w:ascii="Times New Roman" w:hAnsi="Times New Roman" w:cs="Times New Roman"/>
          <w:sz w:val="24"/>
          <w:szCs w:val="24"/>
          <w:vertAlign w:val="superscript"/>
        </w:rPr>
        <w:footnoteReference w:id="95"/>
      </w:r>
      <w:r w:rsidR="00E17EC8" w:rsidRPr="000C2492">
        <w:rPr>
          <w:rFonts w:ascii="Times New Roman" w:hAnsi="Times New Roman" w:cs="Times New Roman"/>
          <w:sz w:val="24"/>
          <w:szCs w:val="24"/>
        </w:rPr>
        <w:t xml:space="preserve"> </w:t>
      </w:r>
      <w:r w:rsidR="009C0C1B">
        <w:rPr>
          <w:rFonts w:ascii="Times New Roman" w:hAnsi="Times New Roman" w:cs="Times New Roman"/>
          <w:sz w:val="24"/>
          <w:szCs w:val="24"/>
        </w:rPr>
        <w:t>D</w:t>
      </w:r>
      <w:r w:rsidR="00E17EC8" w:rsidRPr="000C2492">
        <w:rPr>
          <w:rFonts w:ascii="Times New Roman" w:hAnsi="Times New Roman" w:cs="Times New Roman"/>
          <w:sz w:val="24"/>
          <w:szCs w:val="24"/>
        </w:rPr>
        <w:t>rawing such inferences from omissions are appropriate if</w:t>
      </w:r>
      <w:r w:rsidR="00904AAE">
        <w:rPr>
          <w:rFonts w:ascii="Times New Roman" w:hAnsi="Times New Roman" w:cs="Times New Roman"/>
          <w:sz w:val="24"/>
          <w:szCs w:val="24"/>
        </w:rPr>
        <w:t>,</w:t>
      </w:r>
      <w:r w:rsidR="00E17EC8" w:rsidRPr="000C2492">
        <w:rPr>
          <w:rFonts w:ascii="Times New Roman" w:hAnsi="Times New Roman" w:cs="Times New Roman"/>
          <w:sz w:val="24"/>
          <w:szCs w:val="24"/>
        </w:rPr>
        <w:t xml:space="preserve"> </w:t>
      </w:r>
      <w:r w:rsidR="00FC7AD8">
        <w:rPr>
          <w:rFonts w:ascii="Times New Roman" w:hAnsi="Times New Roman" w:cs="Times New Roman"/>
          <w:sz w:val="24"/>
          <w:szCs w:val="24"/>
        </w:rPr>
        <w:t xml:space="preserve">e.g. </w:t>
      </w:r>
      <w:r w:rsidR="00E17EC8" w:rsidRPr="000C2492">
        <w:rPr>
          <w:rFonts w:ascii="Times New Roman" w:hAnsi="Times New Roman" w:cs="Times New Roman"/>
          <w:sz w:val="24"/>
          <w:szCs w:val="24"/>
        </w:rPr>
        <w:t>the fact or circumstance that was withheld would exculpate the accused, unless there are good reasons for the omission.</w:t>
      </w:r>
      <w:r w:rsidR="00E17EC8" w:rsidRPr="000C2492">
        <w:rPr>
          <w:rFonts w:ascii="Times New Roman" w:hAnsi="Times New Roman" w:cs="Times New Roman"/>
          <w:sz w:val="24"/>
          <w:szCs w:val="24"/>
          <w:vertAlign w:val="superscript"/>
        </w:rPr>
        <w:footnoteReference w:id="96"/>
      </w:r>
      <w:r w:rsidR="00E17EC8" w:rsidRPr="000C2492">
        <w:rPr>
          <w:rFonts w:ascii="Times New Roman" w:hAnsi="Times New Roman" w:cs="Times New Roman"/>
          <w:sz w:val="24"/>
          <w:szCs w:val="24"/>
        </w:rPr>
        <w:t xml:space="preserve"> This </w:t>
      </w:r>
      <w:r w:rsidR="00747972" w:rsidRPr="000C2492">
        <w:rPr>
          <w:rFonts w:ascii="Times New Roman" w:hAnsi="Times New Roman" w:cs="Times New Roman"/>
          <w:sz w:val="24"/>
          <w:szCs w:val="24"/>
        </w:rPr>
        <w:t xml:space="preserve">essentially </w:t>
      </w:r>
      <w:r w:rsidR="00E17EC8" w:rsidRPr="000C2492">
        <w:rPr>
          <w:rFonts w:ascii="Times New Roman" w:hAnsi="Times New Roman" w:cs="Times New Roman"/>
          <w:sz w:val="24"/>
          <w:szCs w:val="24"/>
        </w:rPr>
        <w:t xml:space="preserve">means that the silence of an accused could be used against him if he failed to mention what he was reasonably expected to mention </w:t>
      </w:r>
      <w:r w:rsidR="002751AB">
        <w:rPr>
          <w:rFonts w:ascii="Times New Roman" w:hAnsi="Times New Roman" w:cs="Times New Roman"/>
          <w:sz w:val="24"/>
          <w:szCs w:val="24"/>
        </w:rPr>
        <w:t xml:space="preserve">(i.e. exculpatory evidence) </w:t>
      </w:r>
      <w:r w:rsidR="00E17EC8" w:rsidRPr="000C2492">
        <w:rPr>
          <w:rFonts w:ascii="Times New Roman" w:hAnsi="Times New Roman" w:cs="Times New Roman"/>
          <w:sz w:val="24"/>
          <w:szCs w:val="24"/>
        </w:rPr>
        <w:t>when questioned.</w:t>
      </w:r>
      <w:r w:rsidR="00E17EC8" w:rsidRPr="000C2492">
        <w:rPr>
          <w:rFonts w:ascii="Times New Roman" w:hAnsi="Times New Roman" w:cs="Times New Roman"/>
          <w:sz w:val="24"/>
          <w:szCs w:val="24"/>
          <w:vertAlign w:val="superscript"/>
        </w:rPr>
        <w:footnoteReference w:id="97"/>
      </w:r>
      <w:r w:rsidR="00E17EC8" w:rsidRPr="000C2492">
        <w:rPr>
          <w:rFonts w:ascii="Times New Roman" w:hAnsi="Times New Roman" w:cs="Times New Roman"/>
          <w:sz w:val="24"/>
          <w:szCs w:val="24"/>
        </w:rPr>
        <w:t xml:space="preserve"> </w:t>
      </w:r>
      <w:r w:rsidR="00962D49">
        <w:rPr>
          <w:rFonts w:ascii="Times New Roman" w:hAnsi="Times New Roman" w:cs="Times New Roman"/>
          <w:sz w:val="24"/>
          <w:szCs w:val="24"/>
        </w:rPr>
        <w:t>T</w:t>
      </w:r>
      <w:r w:rsidR="00E17EC8" w:rsidRPr="000C2492">
        <w:rPr>
          <w:rFonts w:ascii="Times New Roman" w:hAnsi="Times New Roman" w:cs="Times New Roman"/>
          <w:sz w:val="24"/>
          <w:szCs w:val="24"/>
        </w:rPr>
        <w:t>his is to prevent the accused from using defences that are merely afterthoughts.</w:t>
      </w:r>
      <w:r w:rsidR="00E17EC8" w:rsidRPr="000C2492">
        <w:rPr>
          <w:rFonts w:ascii="Times New Roman" w:hAnsi="Times New Roman" w:cs="Times New Roman"/>
          <w:sz w:val="24"/>
          <w:szCs w:val="24"/>
          <w:vertAlign w:val="superscript"/>
        </w:rPr>
        <w:footnoteReference w:id="98"/>
      </w:r>
      <w:r w:rsidR="00E17EC8" w:rsidRPr="000C2492">
        <w:rPr>
          <w:rFonts w:ascii="Times New Roman" w:hAnsi="Times New Roman" w:cs="Times New Roman"/>
          <w:sz w:val="24"/>
          <w:szCs w:val="24"/>
        </w:rPr>
        <w:t xml:space="preserve"> </w:t>
      </w:r>
    </w:p>
    <w:p w14:paraId="14B33CFB" w14:textId="77777777" w:rsidR="007F6CDA" w:rsidRDefault="007F6CDA" w:rsidP="000C2492">
      <w:pPr>
        <w:jc w:val="both"/>
        <w:rPr>
          <w:rFonts w:ascii="Times New Roman" w:hAnsi="Times New Roman" w:cs="Times New Roman"/>
          <w:sz w:val="24"/>
          <w:szCs w:val="24"/>
        </w:rPr>
      </w:pPr>
    </w:p>
    <w:p w14:paraId="74319386" w14:textId="65E170DA" w:rsidR="00A12110" w:rsidRPr="000C2492" w:rsidRDefault="00E17EC8" w:rsidP="000C2492">
      <w:pPr>
        <w:jc w:val="both"/>
        <w:rPr>
          <w:rFonts w:ascii="Times New Roman" w:hAnsi="Times New Roman" w:cs="Times New Roman"/>
          <w:sz w:val="24"/>
          <w:szCs w:val="24"/>
        </w:rPr>
      </w:pPr>
      <w:r w:rsidRPr="000C2492">
        <w:rPr>
          <w:rFonts w:ascii="Times New Roman" w:hAnsi="Times New Roman" w:cs="Times New Roman"/>
          <w:sz w:val="24"/>
          <w:szCs w:val="24"/>
        </w:rPr>
        <w:t>These principles apply for statements made under both s</w:t>
      </w:r>
      <w:r w:rsidR="00EC18CE">
        <w:rPr>
          <w:rFonts w:ascii="Times New Roman" w:hAnsi="Times New Roman" w:cs="Times New Roman"/>
          <w:sz w:val="24"/>
          <w:szCs w:val="24"/>
        </w:rPr>
        <w:t>ections</w:t>
      </w:r>
      <w:r w:rsidRPr="000C2492">
        <w:rPr>
          <w:rFonts w:ascii="Times New Roman" w:hAnsi="Times New Roman" w:cs="Times New Roman"/>
          <w:sz w:val="24"/>
          <w:szCs w:val="24"/>
        </w:rPr>
        <w:t xml:space="preserve"> 22 and 23.</w:t>
      </w:r>
      <w:r w:rsidRPr="000C2492">
        <w:rPr>
          <w:rFonts w:ascii="Times New Roman" w:hAnsi="Times New Roman" w:cs="Times New Roman"/>
          <w:sz w:val="24"/>
          <w:szCs w:val="24"/>
          <w:vertAlign w:val="superscript"/>
        </w:rPr>
        <w:footnoteReference w:id="99"/>
      </w:r>
      <w:r w:rsidR="00613590" w:rsidRPr="000C2492">
        <w:rPr>
          <w:rFonts w:ascii="Times New Roman" w:hAnsi="Times New Roman" w:cs="Times New Roman"/>
          <w:sz w:val="24"/>
          <w:szCs w:val="24"/>
        </w:rPr>
        <w:t xml:space="preserve"> </w:t>
      </w:r>
      <w:r w:rsidR="00A12110" w:rsidRPr="000C2492">
        <w:rPr>
          <w:rFonts w:ascii="Times New Roman" w:hAnsi="Times New Roman" w:cs="Times New Roman"/>
          <w:sz w:val="24"/>
          <w:szCs w:val="24"/>
        </w:rPr>
        <w:t xml:space="preserve">Therefore, bearing in mind </w:t>
      </w:r>
      <w:r w:rsidR="00613590" w:rsidRPr="000C2492">
        <w:rPr>
          <w:rFonts w:ascii="Times New Roman" w:hAnsi="Times New Roman" w:cs="Times New Roman"/>
          <w:sz w:val="24"/>
          <w:szCs w:val="24"/>
        </w:rPr>
        <w:t xml:space="preserve">all </w:t>
      </w:r>
      <w:r w:rsidR="00A12110" w:rsidRPr="000C2492">
        <w:rPr>
          <w:rFonts w:ascii="Times New Roman" w:hAnsi="Times New Roman" w:cs="Times New Roman"/>
          <w:sz w:val="24"/>
          <w:szCs w:val="24"/>
        </w:rPr>
        <w:t xml:space="preserve">the </w:t>
      </w:r>
      <w:r w:rsidR="00613590" w:rsidRPr="000C2492">
        <w:rPr>
          <w:rFonts w:ascii="Times New Roman" w:hAnsi="Times New Roman" w:cs="Times New Roman"/>
          <w:sz w:val="24"/>
          <w:szCs w:val="24"/>
        </w:rPr>
        <w:t xml:space="preserve">above </w:t>
      </w:r>
      <w:r w:rsidR="00A12110" w:rsidRPr="000C2492">
        <w:rPr>
          <w:rFonts w:ascii="Times New Roman" w:hAnsi="Times New Roman" w:cs="Times New Roman"/>
          <w:sz w:val="24"/>
          <w:szCs w:val="24"/>
        </w:rPr>
        <w:t>possible repercussions, statements should be made carefully.</w:t>
      </w:r>
    </w:p>
    <w:p w14:paraId="272C3283" w14:textId="77777777" w:rsidR="00A12110" w:rsidRPr="000C2492" w:rsidRDefault="00A12110" w:rsidP="000C2492">
      <w:pPr>
        <w:jc w:val="both"/>
        <w:rPr>
          <w:rFonts w:ascii="Times New Roman" w:hAnsi="Times New Roman" w:cs="Times New Roman"/>
          <w:sz w:val="24"/>
          <w:szCs w:val="24"/>
        </w:rPr>
      </w:pPr>
    </w:p>
    <w:p w14:paraId="0391369F" w14:textId="77777777" w:rsidR="00E17EC8" w:rsidRPr="000C2492" w:rsidRDefault="00E17EC8" w:rsidP="000C2492">
      <w:pPr>
        <w:pStyle w:val="Heading1"/>
        <w:jc w:val="both"/>
        <w:rPr>
          <w:rFonts w:cs="Times New Roman"/>
          <w:sz w:val="24"/>
          <w:szCs w:val="24"/>
        </w:rPr>
      </w:pPr>
      <w:r w:rsidRPr="000C2492">
        <w:rPr>
          <w:rFonts w:cs="Times New Roman"/>
          <w:sz w:val="24"/>
          <w:szCs w:val="24"/>
        </w:rPr>
        <w:t>Conclusion</w:t>
      </w:r>
    </w:p>
    <w:p w14:paraId="304E871A" w14:textId="7BE7D98E" w:rsidR="00453228" w:rsidRDefault="00061880" w:rsidP="000C2492">
      <w:pPr>
        <w:jc w:val="both"/>
        <w:rPr>
          <w:rFonts w:ascii="Times New Roman" w:hAnsi="Times New Roman" w:cs="Times New Roman"/>
          <w:sz w:val="24"/>
          <w:szCs w:val="24"/>
        </w:rPr>
      </w:pPr>
      <w:r w:rsidRPr="000C2492">
        <w:rPr>
          <w:rFonts w:ascii="Times New Roman" w:hAnsi="Times New Roman" w:cs="Times New Roman"/>
          <w:sz w:val="24"/>
          <w:szCs w:val="24"/>
        </w:rPr>
        <w:t xml:space="preserve">As </w:t>
      </w:r>
      <w:r w:rsidR="00EC091E">
        <w:rPr>
          <w:rFonts w:ascii="Times New Roman" w:hAnsi="Times New Roman" w:cs="Times New Roman"/>
          <w:sz w:val="24"/>
          <w:szCs w:val="24"/>
        </w:rPr>
        <w:t>discussed</w:t>
      </w:r>
      <w:r w:rsidRPr="000C2492">
        <w:rPr>
          <w:rFonts w:ascii="Times New Roman" w:hAnsi="Times New Roman" w:cs="Times New Roman"/>
          <w:sz w:val="24"/>
          <w:szCs w:val="24"/>
        </w:rPr>
        <w:t>, t</w:t>
      </w:r>
      <w:r w:rsidR="00E17EC8" w:rsidRPr="000C2492">
        <w:rPr>
          <w:rFonts w:ascii="Times New Roman" w:hAnsi="Times New Roman" w:cs="Times New Roman"/>
          <w:sz w:val="24"/>
          <w:szCs w:val="24"/>
        </w:rPr>
        <w:t>he</w:t>
      </w:r>
      <w:r w:rsidR="002F4DB1" w:rsidRPr="000C2492">
        <w:rPr>
          <w:rFonts w:ascii="Times New Roman" w:hAnsi="Times New Roman" w:cs="Times New Roman"/>
          <w:sz w:val="24"/>
          <w:szCs w:val="24"/>
        </w:rPr>
        <w:t>re are</w:t>
      </w:r>
      <w:r w:rsidR="00E17EC8" w:rsidRPr="000C2492">
        <w:rPr>
          <w:rFonts w:ascii="Times New Roman" w:hAnsi="Times New Roman" w:cs="Times New Roman"/>
          <w:sz w:val="24"/>
          <w:szCs w:val="24"/>
        </w:rPr>
        <w:t xml:space="preserve"> various </w:t>
      </w:r>
      <w:r w:rsidR="006A7C9A" w:rsidRPr="000C2492">
        <w:rPr>
          <w:rFonts w:ascii="Times New Roman" w:hAnsi="Times New Roman" w:cs="Times New Roman"/>
          <w:sz w:val="24"/>
          <w:szCs w:val="24"/>
        </w:rPr>
        <w:t xml:space="preserve">types of </w:t>
      </w:r>
      <w:r w:rsidR="00E17EC8" w:rsidRPr="000C2492">
        <w:rPr>
          <w:rFonts w:ascii="Times New Roman" w:hAnsi="Times New Roman" w:cs="Times New Roman"/>
          <w:sz w:val="24"/>
          <w:szCs w:val="24"/>
        </w:rPr>
        <w:t xml:space="preserve">statements </w:t>
      </w:r>
      <w:r w:rsidRPr="000C2492">
        <w:rPr>
          <w:rFonts w:ascii="Times New Roman" w:hAnsi="Times New Roman" w:cs="Times New Roman"/>
          <w:sz w:val="24"/>
          <w:szCs w:val="24"/>
        </w:rPr>
        <w:t xml:space="preserve">that may be </w:t>
      </w:r>
      <w:r w:rsidR="00E17EC8" w:rsidRPr="000C2492">
        <w:rPr>
          <w:rFonts w:ascii="Times New Roman" w:hAnsi="Times New Roman" w:cs="Times New Roman"/>
          <w:sz w:val="24"/>
          <w:szCs w:val="24"/>
        </w:rPr>
        <w:t>taken during investigations</w:t>
      </w:r>
      <w:r w:rsidR="006F6A66" w:rsidRPr="000C2492">
        <w:rPr>
          <w:rFonts w:ascii="Times New Roman" w:hAnsi="Times New Roman" w:cs="Times New Roman"/>
          <w:sz w:val="24"/>
          <w:szCs w:val="24"/>
        </w:rPr>
        <w:t xml:space="preserve">, each with their own </w:t>
      </w:r>
      <w:r w:rsidR="00971DC3">
        <w:rPr>
          <w:rFonts w:ascii="Times New Roman" w:hAnsi="Times New Roman" w:cs="Times New Roman"/>
          <w:sz w:val="24"/>
          <w:szCs w:val="24"/>
        </w:rPr>
        <w:t>terms</w:t>
      </w:r>
      <w:r w:rsidR="00B2754A" w:rsidRPr="000C2492">
        <w:rPr>
          <w:rFonts w:ascii="Times New Roman" w:hAnsi="Times New Roman" w:cs="Times New Roman"/>
          <w:sz w:val="24"/>
          <w:szCs w:val="24"/>
        </w:rPr>
        <w:t xml:space="preserve">, </w:t>
      </w:r>
      <w:r w:rsidR="006F6A66" w:rsidRPr="000C2492">
        <w:rPr>
          <w:rFonts w:ascii="Times New Roman" w:hAnsi="Times New Roman" w:cs="Times New Roman"/>
          <w:sz w:val="24"/>
          <w:szCs w:val="24"/>
        </w:rPr>
        <w:t>requirements</w:t>
      </w:r>
      <w:r w:rsidR="002F665A" w:rsidRPr="000C2492">
        <w:rPr>
          <w:rFonts w:ascii="Times New Roman" w:hAnsi="Times New Roman" w:cs="Times New Roman"/>
          <w:sz w:val="24"/>
          <w:szCs w:val="24"/>
        </w:rPr>
        <w:t>,</w:t>
      </w:r>
      <w:r w:rsidR="00190697" w:rsidRPr="000C2492">
        <w:rPr>
          <w:rFonts w:ascii="Times New Roman" w:hAnsi="Times New Roman" w:cs="Times New Roman"/>
          <w:sz w:val="24"/>
          <w:szCs w:val="24"/>
        </w:rPr>
        <w:t xml:space="preserve"> and purposes</w:t>
      </w:r>
      <w:r w:rsidR="006F6A66" w:rsidRPr="000C2492">
        <w:rPr>
          <w:rFonts w:ascii="Times New Roman" w:hAnsi="Times New Roman" w:cs="Times New Roman"/>
          <w:sz w:val="24"/>
          <w:szCs w:val="24"/>
        </w:rPr>
        <w:t>.</w:t>
      </w:r>
      <w:r w:rsidR="00E652F1" w:rsidRPr="000C2492">
        <w:rPr>
          <w:rFonts w:ascii="Times New Roman" w:hAnsi="Times New Roman" w:cs="Times New Roman"/>
          <w:sz w:val="24"/>
          <w:szCs w:val="24"/>
        </w:rPr>
        <w:t xml:space="preserve"> </w:t>
      </w:r>
      <w:r w:rsidR="00C47286" w:rsidRPr="000C2492">
        <w:rPr>
          <w:rFonts w:ascii="Times New Roman" w:hAnsi="Times New Roman" w:cs="Times New Roman"/>
          <w:sz w:val="24"/>
          <w:szCs w:val="24"/>
        </w:rPr>
        <w:t xml:space="preserve">Although </w:t>
      </w:r>
      <w:r w:rsidR="00E65091">
        <w:rPr>
          <w:rFonts w:ascii="Times New Roman" w:hAnsi="Times New Roman" w:cs="Times New Roman"/>
          <w:sz w:val="24"/>
          <w:szCs w:val="24"/>
        </w:rPr>
        <w:t>this</w:t>
      </w:r>
      <w:r w:rsidR="00E65091" w:rsidRPr="000C2492">
        <w:rPr>
          <w:rFonts w:ascii="Times New Roman" w:hAnsi="Times New Roman" w:cs="Times New Roman"/>
          <w:sz w:val="24"/>
          <w:szCs w:val="24"/>
        </w:rPr>
        <w:t xml:space="preserve"> </w:t>
      </w:r>
      <w:r w:rsidR="00C47286" w:rsidRPr="000C2492">
        <w:rPr>
          <w:rFonts w:ascii="Times New Roman" w:hAnsi="Times New Roman" w:cs="Times New Roman"/>
          <w:sz w:val="24"/>
          <w:szCs w:val="24"/>
        </w:rPr>
        <w:t xml:space="preserve">regime </w:t>
      </w:r>
      <w:r w:rsidR="009A4F34" w:rsidRPr="000C2492">
        <w:rPr>
          <w:rFonts w:ascii="Times New Roman" w:hAnsi="Times New Roman" w:cs="Times New Roman"/>
          <w:sz w:val="24"/>
          <w:szCs w:val="24"/>
        </w:rPr>
        <w:t xml:space="preserve">does </w:t>
      </w:r>
      <w:r w:rsidR="00D51A26" w:rsidRPr="000C2492">
        <w:rPr>
          <w:rFonts w:ascii="Times New Roman" w:hAnsi="Times New Roman" w:cs="Times New Roman"/>
          <w:sz w:val="24"/>
          <w:szCs w:val="24"/>
        </w:rPr>
        <w:t>encapsulate</w:t>
      </w:r>
      <w:r w:rsidR="009A4F34" w:rsidRPr="000C2492">
        <w:rPr>
          <w:rFonts w:ascii="Times New Roman" w:hAnsi="Times New Roman" w:cs="Times New Roman"/>
          <w:sz w:val="24"/>
          <w:szCs w:val="24"/>
        </w:rPr>
        <w:t xml:space="preserve"> </w:t>
      </w:r>
      <w:r w:rsidR="005D480F" w:rsidRPr="000C2492">
        <w:rPr>
          <w:rFonts w:ascii="Times New Roman" w:hAnsi="Times New Roman" w:cs="Times New Roman"/>
          <w:sz w:val="24"/>
          <w:szCs w:val="24"/>
        </w:rPr>
        <w:t>a fair amount of complexity</w:t>
      </w:r>
      <w:r w:rsidR="00E652F1" w:rsidRPr="000C2492">
        <w:rPr>
          <w:rFonts w:ascii="Times New Roman" w:hAnsi="Times New Roman" w:cs="Times New Roman"/>
          <w:sz w:val="24"/>
          <w:szCs w:val="24"/>
        </w:rPr>
        <w:t xml:space="preserve">, </w:t>
      </w:r>
      <w:r w:rsidR="00453228">
        <w:rPr>
          <w:rFonts w:ascii="Times New Roman" w:hAnsi="Times New Roman" w:cs="Times New Roman"/>
          <w:sz w:val="24"/>
          <w:szCs w:val="24"/>
        </w:rPr>
        <w:t>by</w:t>
      </w:r>
      <w:r w:rsidR="00CB3F12" w:rsidRPr="000C2492">
        <w:rPr>
          <w:rFonts w:ascii="Times New Roman" w:hAnsi="Times New Roman" w:cs="Times New Roman"/>
          <w:sz w:val="24"/>
          <w:szCs w:val="24"/>
        </w:rPr>
        <w:t xml:space="preserve"> ensuring that </w:t>
      </w:r>
      <w:r w:rsidR="007B3CDA" w:rsidRPr="000C2492">
        <w:rPr>
          <w:rFonts w:ascii="Times New Roman" w:hAnsi="Times New Roman" w:cs="Times New Roman"/>
          <w:sz w:val="24"/>
          <w:szCs w:val="24"/>
        </w:rPr>
        <w:t xml:space="preserve">perpetrators </w:t>
      </w:r>
      <w:r w:rsidR="00CB3F12" w:rsidRPr="000C2492">
        <w:rPr>
          <w:rFonts w:ascii="Times New Roman" w:hAnsi="Times New Roman" w:cs="Times New Roman"/>
          <w:sz w:val="24"/>
          <w:szCs w:val="24"/>
        </w:rPr>
        <w:t>are duly punished</w:t>
      </w:r>
      <w:r w:rsidR="00F54C10" w:rsidRPr="000C2492">
        <w:rPr>
          <w:rFonts w:ascii="Times New Roman" w:hAnsi="Times New Roman" w:cs="Times New Roman"/>
          <w:sz w:val="24"/>
          <w:szCs w:val="24"/>
        </w:rPr>
        <w:t xml:space="preserve"> while innocent </w:t>
      </w:r>
      <w:r w:rsidR="00453228">
        <w:rPr>
          <w:rFonts w:ascii="Times New Roman" w:hAnsi="Times New Roman" w:cs="Times New Roman"/>
          <w:sz w:val="24"/>
          <w:szCs w:val="24"/>
        </w:rPr>
        <w:t>parties</w:t>
      </w:r>
      <w:r w:rsidR="00453228" w:rsidRPr="000C2492">
        <w:rPr>
          <w:rFonts w:ascii="Times New Roman" w:hAnsi="Times New Roman" w:cs="Times New Roman"/>
          <w:sz w:val="24"/>
          <w:szCs w:val="24"/>
        </w:rPr>
        <w:t xml:space="preserve"> </w:t>
      </w:r>
      <w:r w:rsidR="00F87D84" w:rsidRPr="000C2492">
        <w:rPr>
          <w:rFonts w:ascii="Times New Roman" w:hAnsi="Times New Roman" w:cs="Times New Roman"/>
          <w:sz w:val="24"/>
          <w:szCs w:val="24"/>
        </w:rPr>
        <w:t>m</w:t>
      </w:r>
      <w:r w:rsidR="00453228">
        <w:rPr>
          <w:rFonts w:ascii="Times New Roman" w:hAnsi="Times New Roman" w:cs="Times New Roman"/>
          <w:sz w:val="24"/>
          <w:szCs w:val="24"/>
        </w:rPr>
        <w:t xml:space="preserve">aking </w:t>
      </w:r>
      <w:r w:rsidR="00F87D84" w:rsidRPr="000C2492">
        <w:rPr>
          <w:rFonts w:ascii="Times New Roman" w:hAnsi="Times New Roman" w:cs="Times New Roman"/>
          <w:sz w:val="24"/>
          <w:szCs w:val="24"/>
        </w:rPr>
        <w:t>mistakes in their speech</w:t>
      </w:r>
      <w:r w:rsidR="00F54C10" w:rsidRPr="000C2492">
        <w:rPr>
          <w:rFonts w:ascii="Times New Roman" w:hAnsi="Times New Roman" w:cs="Times New Roman"/>
          <w:sz w:val="24"/>
          <w:szCs w:val="24"/>
        </w:rPr>
        <w:t xml:space="preserve"> are not </w:t>
      </w:r>
      <w:r w:rsidR="001B2BF1" w:rsidRPr="000C2492">
        <w:rPr>
          <w:rFonts w:ascii="Times New Roman" w:hAnsi="Times New Roman" w:cs="Times New Roman"/>
          <w:sz w:val="24"/>
          <w:szCs w:val="24"/>
        </w:rPr>
        <w:t xml:space="preserve">definitively </w:t>
      </w:r>
      <w:r w:rsidR="00F54C10" w:rsidRPr="000C2492">
        <w:rPr>
          <w:rFonts w:ascii="Times New Roman" w:hAnsi="Times New Roman" w:cs="Times New Roman"/>
          <w:sz w:val="24"/>
          <w:szCs w:val="24"/>
        </w:rPr>
        <w:t>condemned</w:t>
      </w:r>
      <w:r w:rsidR="00453228">
        <w:rPr>
          <w:rFonts w:ascii="Times New Roman" w:hAnsi="Times New Roman" w:cs="Times New Roman"/>
          <w:sz w:val="24"/>
          <w:szCs w:val="24"/>
        </w:rPr>
        <w:t>, it</w:t>
      </w:r>
      <w:r w:rsidR="00453228" w:rsidRPr="000C2492">
        <w:rPr>
          <w:rFonts w:ascii="Times New Roman" w:hAnsi="Times New Roman" w:cs="Times New Roman"/>
          <w:sz w:val="24"/>
          <w:szCs w:val="24"/>
        </w:rPr>
        <w:t xml:space="preserve"> simultaneously allows for fairness and balance in our criminal justice system</w:t>
      </w:r>
      <w:r w:rsidR="00E17EC8" w:rsidRPr="000C2492">
        <w:rPr>
          <w:rFonts w:ascii="Times New Roman" w:hAnsi="Times New Roman" w:cs="Times New Roman"/>
          <w:sz w:val="24"/>
          <w:szCs w:val="24"/>
        </w:rPr>
        <w:t>.</w:t>
      </w:r>
    </w:p>
    <w:p w14:paraId="3FF4FF54" w14:textId="77777777" w:rsidR="00795CC5" w:rsidRDefault="00795CC5" w:rsidP="000C2492">
      <w:pPr>
        <w:jc w:val="both"/>
        <w:rPr>
          <w:rFonts w:ascii="Times New Roman" w:hAnsi="Times New Roman" w:cs="Times New Roman"/>
          <w:sz w:val="24"/>
          <w:szCs w:val="24"/>
        </w:rPr>
      </w:pPr>
    </w:p>
    <w:p w14:paraId="2E355AD9" w14:textId="66EC77DA" w:rsidR="00F437FE" w:rsidRPr="003D1118" w:rsidRDefault="00A3461D" w:rsidP="000C2492">
      <w:pPr>
        <w:jc w:val="both"/>
        <w:rPr>
          <w:rFonts w:ascii="Times New Roman" w:hAnsi="Times New Roman"/>
          <w:sz w:val="24"/>
        </w:rPr>
      </w:pPr>
      <w:r w:rsidRPr="000C2492">
        <w:rPr>
          <w:rFonts w:ascii="Times New Roman" w:hAnsi="Times New Roman" w:cs="Times New Roman"/>
          <w:sz w:val="24"/>
          <w:szCs w:val="24"/>
        </w:rPr>
        <w:lastRenderedPageBreak/>
        <w:t>In this regard,</w:t>
      </w:r>
      <w:r w:rsidR="009C63B1" w:rsidRPr="000C2492">
        <w:rPr>
          <w:rFonts w:ascii="Times New Roman" w:hAnsi="Times New Roman" w:cs="Times New Roman"/>
          <w:sz w:val="24"/>
          <w:szCs w:val="24"/>
        </w:rPr>
        <w:t xml:space="preserve"> </w:t>
      </w:r>
      <w:r w:rsidR="004B0CBC" w:rsidRPr="000C2492">
        <w:rPr>
          <w:rFonts w:ascii="Times New Roman" w:hAnsi="Times New Roman" w:cs="Times New Roman"/>
          <w:sz w:val="24"/>
          <w:szCs w:val="24"/>
        </w:rPr>
        <w:t>l</w:t>
      </w:r>
      <w:r w:rsidR="001F6E73" w:rsidRPr="000C2492">
        <w:rPr>
          <w:rFonts w:ascii="Times New Roman" w:hAnsi="Times New Roman" w:cs="Times New Roman"/>
          <w:sz w:val="24"/>
          <w:szCs w:val="24"/>
        </w:rPr>
        <w:t xml:space="preserve">aw enforcement </w:t>
      </w:r>
      <w:r w:rsidR="002E4901" w:rsidRPr="000C2492">
        <w:rPr>
          <w:rFonts w:ascii="Times New Roman" w:hAnsi="Times New Roman" w:cs="Times New Roman"/>
          <w:sz w:val="24"/>
          <w:szCs w:val="24"/>
        </w:rPr>
        <w:t xml:space="preserve">officers </w:t>
      </w:r>
      <w:r w:rsidR="001F6E73" w:rsidRPr="000C2492">
        <w:rPr>
          <w:rFonts w:ascii="Times New Roman" w:hAnsi="Times New Roman" w:cs="Times New Roman"/>
          <w:sz w:val="24"/>
          <w:szCs w:val="24"/>
        </w:rPr>
        <w:t>and the judiciary have a</w:t>
      </w:r>
      <w:r w:rsidR="007D7094" w:rsidRPr="000C2492">
        <w:rPr>
          <w:rFonts w:ascii="Times New Roman" w:hAnsi="Times New Roman" w:cs="Times New Roman"/>
          <w:sz w:val="24"/>
          <w:szCs w:val="24"/>
        </w:rPr>
        <w:t xml:space="preserve">n important role </w:t>
      </w:r>
      <w:r w:rsidR="001F6E73" w:rsidRPr="000C2492">
        <w:rPr>
          <w:rFonts w:ascii="Times New Roman" w:hAnsi="Times New Roman" w:cs="Times New Roman"/>
          <w:sz w:val="24"/>
          <w:szCs w:val="24"/>
        </w:rPr>
        <w:t xml:space="preserve">to play in ensuring that the law is obeyed when statements are </w:t>
      </w:r>
      <w:r w:rsidR="006F03C0" w:rsidRPr="000C2492">
        <w:rPr>
          <w:rFonts w:ascii="Times New Roman" w:hAnsi="Times New Roman" w:cs="Times New Roman"/>
          <w:sz w:val="24"/>
          <w:szCs w:val="24"/>
        </w:rPr>
        <w:t>taken</w:t>
      </w:r>
      <w:r w:rsidR="001F6E73" w:rsidRPr="000C2492">
        <w:rPr>
          <w:rFonts w:ascii="Times New Roman" w:hAnsi="Times New Roman" w:cs="Times New Roman"/>
          <w:sz w:val="24"/>
          <w:szCs w:val="24"/>
        </w:rPr>
        <w:t xml:space="preserve">, and that </w:t>
      </w:r>
      <w:r w:rsidR="00BA7C82" w:rsidRPr="000C2492">
        <w:rPr>
          <w:rFonts w:ascii="Times New Roman" w:hAnsi="Times New Roman" w:cs="Times New Roman"/>
          <w:sz w:val="24"/>
          <w:szCs w:val="24"/>
        </w:rPr>
        <w:t xml:space="preserve">only </w:t>
      </w:r>
      <w:r w:rsidR="00A60A68" w:rsidRPr="000C2492">
        <w:rPr>
          <w:rFonts w:ascii="Times New Roman" w:hAnsi="Times New Roman" w:cs="Times New Roman"/>
          <w:sz w:val="24"/>
          <w:szCs w:val="24"/>
        </w:rPr>
        <w:t xml:space="preserve">factually </w:t>
      </w:r>
      <w:r w:rsidR="00DC2669" w:rsidRPr="000C2492">
        <w:rPr>
          <w:rFonts w:ascii="Times New Roman" w:hAnsi="Times New Roman" w:cs="Times New Roman"/>
          <w:sz w:val="24"/>
          <w:szCs w:val="24"/>
        </w:rPr>
        <w:t xml:space="preserve">accurate </w:t>
      </w:r>
      <w:r w:rsidR="001F6E73" w:rsidRPr="000C2492">
        <w:rPr>
          <w:rFonts w:ascii="Times New Roman" w:hAnsi="Times New Roman" w:cs="Times New Roman"/>
          <w:sz w:val="24"/>
          <w:szCs w:val="24"/>
        </w:rPr>
        <w:t>statements are admitted and accorded their due weight. All have a part to play for a safe and stable society</w:t>
      </w:r>
      <w:r w:rsidR="00BA7C82" w:rsidRPr="000C2492">
        <w:rPr>
          <w:rFonts w:ascii="Times New Roman" w:hAnsi="Times New Roman" w:cs="Times New Roman"/>
          <w:sz w:val="24"/>
          <w:szCs w:val="24"/>
        </w:rPr>
        <w:t xml:space="preserve"> and for the rule of law</w:t>
      </w:r>
      <w:r w:rsidR="001F6E73" w:rsidRPr="000C2492">
        <w:rPr>
          <w:rFonts w:ascii="Times New Roman" w:hAnsi="Times New Roman" w:cs="Times New Roman"/>
          <w:sz w:val="24"/>
          <w:szCs w:val="24"/>
        </w:rPr>
        <w:t>.</w:t>
      </w:r>
    </w:p>
    <w:sectPr w:rsidR="00F437FE" w:rsidRPr="003D111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C231" w14:textId="77777777" w:rsidR="00415B22" w:rsidRDefault="00415B22" w:rsidP="00B73C3C">
      <w:r>
        <w:separator/>
      </w:r>
    </w:p>
  </w:endnote>
  <w:endnote w:type="continuationSeparator" w:id="0">
    <w:p w14:paraId="60298B6F" w14:textId="77777777" w:rsidR="00415B22" w:rsidRDefault="00415B22" w:rsidP="00B73C3C">
      <w:r>
        <w:continuationSeparator/>
      </w:r>
    </w:p>
  </w:endnote>
  <w:endnote w:type="continuationNotice" w:id="1">
    <w:p w14:paraId="3984C85E" w14:textId="77777777" w:rsidR="00415B22" w:rsidRDefault="00415B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13F1" w14:textId="77777777" w:rsidR="00EA6A34" w:rsidRDefault="00EA6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49F50" w14:textId="77777777" w:rsidR="00415B22" w:rsidRDefault="00415B22" w:rsidP="00B73C3C">
      <w:r>
        <w:separator/>
      </w:r>
    </w:p>
  </w:footnote>
  <w:footnote w:type="continuationSeparator" w:id="0">
    <w:p w14:paraId="7E503567" w14:textId="77777777" w:rsidR="00415B22" w:rsidRDefault="00415B22" w:rsidP="00B73C3C">
      <w:r>
        <w:continuationSeparator/>
      </w:r>
    </w:p>
  </w:footnote>
  <w:footnote w:type="continuationNotice" w:id="1">
    <w:p w14:paraId="192516EF" w14:textId="77777777" w:rsidR="00415B22" w:rsidRDefault="00415B22">
      <w:pPr>
        <w:spacing w:line="240" w:lineRule="auto"/>
      </w:pPr>
    </w:p>
  </w:footnote>
  <w:footnote w:id="2">
    <w:p w14:paraId="45F0E29C" w14:textId="4CCFDFB2" w:rsidR="009E586A" w:rsidRPr="00C342D7" w:rsidRDefault="009E586A" w:rsidP="00CA19CB">
      <w:pPr>
        <w:pStyle w:val="FootnoteText"/>
        <w:spacing w:line="240" w:lineRule="auto"/>
        <w:rPr>
          <w:lang w:val="en-US"/>
        </w:rPr>
      </w:pPr>
      <w:r>
        <w:rPr>
          <w:rStyle w:val="FootnoteReference"/>
        </w:rPr>
        <w:t>*</w:t>
      </w:r>
      <w:r>
        <w:t xml:space="preserve"> </w:t>
      </w:r>
      <w:r w:rsidRPr="00C342D7">
        <w:t xml:space="preserve">Year </w:t>
      </w:r>
      <w:r>
        <w:t>2</w:t>
      </w:r>
      <w:r w:rsidRPr="00C342D7">
        <w:t xml:space="preserve"> LL.B. </w:t>
      </w:r>
      <w:r>
        <w:t>s</w:t>
      </w:r>
      <w:r w:rsidRPr="00C342D7">
        <w:t>tudent, Singapore Management University</w:t>
      </w:r>
      <w:r>
        <w:t>,</w:t>
      </w:r>
      <w:r w:rsidRPr="00C342D7">
        <w:t xml:space="preserve"> Yong </w:t>
      </w:r>
      <w:proofErr w:type="spellStart"/>
      <w:r w:rsidRPr="00C342D7">
        <w:t>Pung</w:t>
      </w:r>
      <w:proofErr w:type="spellEnd"/>
      <w:r w:rsidRPr="00C342D7">
        <w:t xml:space="preserve"> How School of Law. I would like to thank </w:t>
      </w:r>
      <w:r w:rsidR="007857B1">
        <w:t>p</w:t>
      </w:r>
      <w:r w:rsidRPr="00C342D7">
        <w:t xml:space="preserve">rofessors Ong Ee Ing and </w:t>
      </w:r>
      <w:r>
        <w:t>Chen Siyuan</w:t>
      </w:r>
      <w:r w:rsidRPr="00C342D7">
        <w:t xml:space="preserve"> for their invaluable comments and guidance. All errors remain my own.</w:t>
      </w:r>
    </w:p>
  </w:footnote>
  <w:footnote w:id="3">
    <w:p w14:paraId="03EE0216" w14:textId="39635492" w:rsidR="00BE7974" w:rsidRPr="002508DC" w:rsidRDefault="00BE7974" w:rsidP="00CA19CB">
      <w:pPr>
        <w:pStyle w:val="FootnoteText"/>
        <w:spacing w:line="240" w:lineRule="auto"/>
        <w:rPr>
          <w:lang w:val="en-US"/>
        </w:rPr>
      </w:pPr>
      <w:r>
        <w:rPr>
          <w:rStyle w:val="FootnoteReference"/>
        </w:rPr>
        <w:footnoteRef/>
      </w:r>
      <w:r>
        <w:t xml:space="preserve"> </w:t>
      </w:r>
      <w:r>
        <w:rPr>
          <w:lang w:val="en-US"/>
        </w:rPr>
        <w:t xml:space="preserve">The right to counsel under Article 9(3) of the Constitution only needs to be granted within a reasonable time after a person’s arrest. This suggests that counsel </w:t>
      </w:r>
      <w:r w:rsidR="00436F3D">
        <w:rPr>
          <w:lang w:val="en-US"/>
        </w:rPr>
        <w:t xml:space="preserve">might </w:t>
      </w:r>
      <w:r>
        <w:rPr>
          <w:lang w:val="en-US"/>
        </w:rPr>
        <w:t xml:space="preserve">not be present when statements are taken. </w:t>
      </w:r>
      <w:proofErr w:type="spellStart"/>
      <w:r w:rsidRPr="002508DC">
        <w:rPr>
          <w:i/>
          <w:iCs/>
          <w:lang w:val="en-US"/>
        </w:rPr>
        <w:t>Jasbir</w:t>
      </w:r>
      <w:proofErr w:type="spellEnd"/>
      <w:r w:rsidRPr="002508DC">
        <w:rPr>
          <w:i/>
          <w:iCs/>
          <w:lang w:val="en-US"/>
        </w:rPr>
        <w:t xml:space="preserve"> Singh v Public Prosecutor</w:t>
      </w:r>
      <w:r w:rsidRPr="00445B2B">
        <w:rPr>
          <w:lang w:val="en-US"/>
        </w:rPr>
        <w:t xml:space="preserve"> [1994] 1 SLR(R) 782 at 798–800, [44]</w:t>
      </w:r>
      <w:proofErr w:type="gramStart"/>
      <w:r w:rsidRPr="00445B2B">
        <w:rPr>
          <w:lang w:val="en-US"/>
        </w:rPr>
        <w:t>–[</w:t>
      </w:r>
      <w:proofErr w:type="gramEnd"/>
      <w:r w:rsidRPr="00445B2B">
        <w:rPr>
          <w:lang w:val="en-US"/>
        </w:rPr>
        <w:t>49]</w:t>
      </w:r>
      <w:r w:rsidR="009E586A">
        <w:rPr>
          <w:lang w:val="en-US"/>
        </w:rPr>
        <w:t>.</w:t>
      </w:r>
      <w:r w:rsidR="00CD4199">
        <w:rPr>
          <w:lang w:val="en-US"/>
        </w:rPr>
        <w:t xml:space="preserve"> The police might also restrict the accused’s access to the counsel when interviews are being carried out. </w:t>
      </w:r>
      <w:r w:rsidR="00CD4199" w:rsidRPr="00941F11">
        <w:rPr>
          <w:i/>
          <w:iCs/>
        </w:rPr>
        <w:t>Muhammad bin Kadar</w:t>
      </w:r>
      <w:r w:rsidR="00CD4199">
        <w:t xml:space="preserve"> </w:t>
      </w:r>
      <w:r w:rsidR="00CD4199" w:rsidRPr="00941F11">
        <w:rPr>
          <w:i/>
          <w:iCs/>
        </w:rPr>
        <w:t xml:space="preserve">v Public Prosecutor </w:t>
      </w:r>
      <w:r w:rsidR="00CD4199">
        <w:t>[2011]</w:t>
      </w:r>
      <w:r w:rsidR="00CD4199">
        <w:rPr>
          <w:lang w:val="en-US"/>
        </w:rPr>
        <w:t xml:space="preserve"> </w:t>
      </w:r>
      <w:r w:rsidR="00CD4199">
        <w:t>3 SLR 1205 (CA)</w:t>
      </w:r>
      <w:r w:rsidR="00941F11">
        <w:t xml:space="preserve"> (“</w:t>
      </w:r>
      <w:r w:rsidR="00941F11" w:rsidRPr="00941F11">
        <w:rPr>
          <w:i/>
          <w:iCs/>
        </w:rPr>
        <w:t>Kadar</w:t>
      </w:r>
      <w:r w:rsidR="00941F11">
        <w:t>”)</w:t>
      </w:r>
      <w:r w:rsidR="00260ED6">
        <w:t>,</w:t>
      </w:r>
      <w:r w:rsidR="00CD4199">
        <w:t xml:space="preserve"> at [57].</w:t>
      </w:r>
    </w:p>
  </w:footnote>
  <w:footnote w:id="4">
    <w:p w14:paraId="30E550C9" w14:textId="14208760" w:rsidR="007E0F89" w:rsidRPr="007E0F89" w:rsidRDefault="007E0F89" w:rsidP="00CA19CB">
      <w:pPr>
        <w:pStyle w:val="FootnoteText"/>
        <w:spacing w:line="240" w:lineRule="auto"/>
        <w:rPr>
          <w:lang w:val="en-US"/>
        </w:rPr>
      </w:pPr>
      <w:r>
        <w:rPr>
          <w:rStyle w:val="FootnoteReference"/>
        </w:rPr>
        <w:footnoteRef/>
      </w:r>
      <w:r>
        <w:t xml:space="preserve"> </w:t>
      </w:r>
      <w:r w:rsidR="005671D1">
        <w:t>Louisa Tang, “</w:t>
      </w:r>
      <w:r w:rsidR="005671D1" w:rsidRPr="005671D1">
        <w:t>The Big Read: Accused persons get no sympathy but long proceedings are tough, more so on those not found guilty</w:t>
      </w:r>
      <w:r w:rsidR="005671D1">
        <w:t>”, CNA (19 April 2021) &lt;</w:t>
      </w:r>
      <w:hyperlink r:id="rId1" w:history="1">
        <w:r w:rsidR="005671D1" w:rsidRPr="00E5463E">
          <w:rPr>
            <w:rStyle w:val="Hyperlink"/>
          </w:rPr>
          <w:t>https://www.channelnewsasia.com/singapore/the-big-read-accused-persons-long-court-proceedings-224946</w:t>
        </w:r>
      </w:hyperlink>
      <w:r w:rsidR="005671D1">
        <w:t>&gt; (accessed 12 September 2021)</w:t>
      </w:r>
      <w:r>
        <w:t xml:space="preserve">. </w:t>
      </w:r>
    </w:p>
  </w:footnote>
  <w:footnote w:id="5">
    <w:p w14:paraId="4E86D556" w14:textId="2649FEEF" w:rsidR="005671D1" w:rsidRDefault="00137B74" w:rsidP="00CA19CB">
      <w:pPr>
        <w:pStyle w:val="FootnoteText"/>
        <w:spacing w:line="240" w:lineRule="auto"/>
      </w:pPr>
      <w:r>
        <w:rPr>
          <w:rStyle w:val="FootnoteReference"/>
        </w:rPr>
        <w:footnoteRef/>
      </w:r>
      <w:r w:rsidR="005671D1">
        <w:t xml:space="preserve"> Louisa Tang, “'It was humiliating': Doctor acquitted of molestation charges tells of painful experience”</w:t>
      </w:r>
    </w:p>
    <w:p w14:paraId="1CF0F44F" w14:textId="1BC0B63B" w:rsidR="00137B74" w:rsidRPr="00DF0D64" w:rsidRDefault="00C960AE" w:rsidP="00CA19CB">
      <w:pPr>
        <w:pStyle w:val="FootnoteText"/>
        <w:spacing w:line="240" w:lineRule="auto"/>
      </w:pPr>
      <w:r>
        <w:t>TODAY online</w:t>
      </w:r>
      <w:r w:rsidR="005671D1">
        <w:t xml:space="preserve"> (22 August 2021) &lt;</w:t>
      </w:r>
      <w:hyperlink r:id="rId2" w:history="1">
        <w:r w:rsidR="005671D1" w:rsidRPr="00E5463E">
          <w:rPr>
            <w:rStyle w:val="Hyperlink"/>
          </w:rPr>
          <w:t>https://www.todayonline.com/singapore/doctor-acquitted-molestation-charges-tells-humiliating-painful-experience</w:t>
        </w:r>
      </w:hyperlink>
      <w:r w:rsidR="005671D1">
        <w:t>&gt; (accessed 11 September 2021).</w:t>
      </w:r>
    </w:p>
  </w:footnote>
  <w:footnote w:id="6">
    <w:p w14:paraId="3F005B9F" w14:textId="53147917" w:rsidR="00B9405B" w:rsidRDefault="00B9405B" w:rsidP="00CA19CB">
      <w:pPr>
        <w:spacing w:line="240" w:lineRule="auto"/>
        <w:rPr>
          <w:sz w:val="20"/>
          <w:szCs w:val="20"/>
        </w:rPr>
      </w:pPr>
      <w:r>
        <w:rPr>
          <w:vertAlign w:val="superscript"/>
        </w:rPr>
        <w:footnoteRef/>
      </w:r>
      <w:r>
        <w:rPr>
          <w:sz w:val="20"/>
          <w:szCs w:val="20"/>
        </w:rPr>
        <w:t xml:space="preserve"> Criminal Procedure Code (Cap 68, Rev Ed 2012) (“CPC”).</w:t>
      </w:r>
    </w:p>
  </w:footnote>
  <w:footnote w:id="7">
    <w:p w14:paraId="78FCBDBA" w14:textId="40B924B5" w:rsidR="00DF047A" w:rsidRDefault="00DF047A" w:rsidP="00CA19CB">
      <w:pPr>
        <w:spacing w:line="240" w:lineRule="auto"/>
        <w:rPr>
          <w:sz w:val="20"/>
          <w:szCs w:val="20"/>
        </w:rPr>
      </w:pPr>
      <w:r>
        <w:rPr>
          <w:vertAlign w:val="superscript"/>
        </w:rPr>
        <w:footnoteRef/>
      </w:r>
      <w:r>
        <w:rPr>
          <w:sz w:val="20"/>
          <w:szCs w:val="20"/>
        </w:rPr>
        <w:t xml:space="preserve"> </w:t>
      </w:r>
      <w:r w:rsidR="00D13CBB" w:rsidRPr="00BA24FD">
        <w:rPr>
          <w:rFonts w:ascii="Times New Roman" w:hAnsi="Times New Roman" w:cs="Times New Roman"/>
          <w:sz w:val="20"/>
          <w:szCs w:val="20"/>
        </w:rPr>
        <w:t>Although these statements might be referred to as “contemporaneous” or “non-contemporaneous” statements, these labels merely refer to the time when the statement was taken</w:t>
      </w:r>
      <w:r w:rsidR="00D13CBB">
        <w:rPr>
          <w:rFonts w:ascii="Times New Roman" w:hAnsi="Times New Roman" w:cs="Times New Roman"/>
          <w:sz w:val="20"/>
          <w:szCs w:val="20"/>
        </w:rPr>
        <w:t>.</w:t>
      </w:r>
      <w:r w:rsidR="007676C1">
        <w:rPr>
          <w:rFonts w:ascii="Times New Roman" w:hAnsi="Times New Roman" w:cs="Times New Roman"/>
          <w:sz w:val="20"/>
          <w:szCs w:val="20"/>
        </w:rPr>
        <w:t xml:space="preserve"> </w:t>
      </w:r>
      <w:r w:rsidR="007676C1" w:rsidRPr="007676C1">
        <w:rPr>
          <w:rFonts w:ascii="Times New Roman" w:hAnsi="Times New Roman" w:cs="Times New Roman"/>
          <w:sz w:val="20"/>
          <w:szCs w:val="20"/>
        </w:rPr>
        <w:t>There also does not appear to be a limit on the number of statements that can be recorded under either section</w:t>
      </w:r>
      <w:r w:rsidR="007676C1">
        <w:rPr>
          <w:rFonts w:ascii="Times New Roman" w:hAnsi="Times New Roman" w:cs="Times New Roman"/>
          <w:sz w:val="20"/>
          <w:szCs w:val="20"/>
        </w:rPr>
        <w:t>.</w:t>
      </w:r>
      <w:r w:rsidR="00D13CBB">
        <w:rPr>
          <w:rFonts w:ascii="Times New Roman" w:hAnsi="Times New Roman" w:cs="Times New Roman"/>
          <w:sz w:val="20"/>
          <w:szCs w:val="20"/>
        </w:rPr>
        <w:t xml:space="preserve"> </w:t>
      </w:r>
      <w:r w:rsidRPr="00D13CBB">
        <w:rPr>
          <w:i/>
          <w:iCs/>
          <w:sz w:val="20"/>
          <w:szCs w:val="20"/>
        </w:rPr>
        <w:t>PP</w:t>
      </w:r>
      <w:r w:rsidRPr="00611863">
        <w:rPr>
          <w:i/>
          <w:iCs/>
          <w:sz w:val="20"/>
          <w:szCs w:val="20"/>
        </w:rPr>
        <w:t xml:space="preserve"> v Mohamed Ansari bin Mohamed Abdul Aziz </w:t>
      </w:r>
      <w:r>
        <w:rPr>
          <w:sz w:val="20"/>
          <w:szCs w:val="20"/>
        </w:rPr>
        <w:t>[2019] SGHC 268 (“</w:t>
      </w:r>
      <w:r w:rsidRPr="00611863">
        <w:rPr>
          <w:i/>
          <w:iCs/>
          <w:sz w:val="20"/>
          <w:szCs w:val="20"/>
        </w:rPr>
        <w:t>Ansari</w:t>
      </w:r>
      <w:r>
        <w:rPr>
          <w:sz w:val="20"/>
          <w:szCs w:val="20"/>
        </w:rPr>
        <w:t xml:space="preserve">”) at </w:t>
      </w:r>
      <w:r w:rsidR="004F695F">
        <w:rPr>
          <w:sz w:val="20"/>
          <w:szCs w:val="20"/>
        </w:rPr>
        <w:t>[4]-[5]</w:t>
      </w:r>
      <w:r>
        <w:rPr>
          <w:sz w:val="20"/>
          <w:szCs w:val="20"/>
        </w:rPr>
        <w:t>.</w:t>
      </w:r>
    </w:p>
  </w:footnote>
  <w:footnote w:id="8">
    <w:p w14:paraId="02C3F3EA" w14:textId="77777777" w:rsidR="00F671E9" w:rsidRPr="002E1396" w:rsidRDefault="00F671E9" w:rsidP="00CA19CB">
      <w:pPr>
        <w:pStyle w:val="FootnoteText"/>
        <w:spacing w:line="240" w:lineRule="auto"/>
        <w:rPr>
          <w:lang w:val="en-US"/>
        </w:rPr>
      </w:pPr>
      <w:r>
        <w:rPr>
          <w:rStyle w:val="FootnoteReference"/>
        </w:rPr>
        <w:footnoteRef/>
      </w:r>
      <w:r>
        <w:t xml:space="preserve"> CPC, s 22(1).</w:t>
      </w:r>
    </w:p>
  </w:footnote>
  <w:footnote w:id="9">
    <w:p w14:paraId="39A382E6" w14:textId="77777777" w:rsidR="00BA0967" w:rsidRDefault="00BA0967" w:rsidP="00CA19CB">
      <w:pPr>
        <w:spacing w:line="240" w:lineRule="auto"/>
        <w:rPr>
          <w:sz w:val="20"/>
          <w:szCs w:val="20"/>
        </w:rPr>
      </w:pPr>
      <w:r>
        <w:rPr>
          <w:vertAlign w:val="superscript"/>
        </w:rPr>
        <w:footnoteRef/>
      </w:r>
      <w:r>
        <w:rPr>
          <w:sz w:val="20"/>
          <w:szCs w:val="20"/>
        </w:rPr>
        <w:t xml:space="preserve"> Penal Code (Cap 224, Rev Ed 2008), Chapter XI.</w:t>
      </w:r>
    </w:p>
  </w:footnote>
  <w:footnote w:id="10">
    <w:p w14:paraId="67C9DB60" w14:textId="11206017" w:rsidR="00E17EC8" w:rsidRDefault="00E17EC8" w:rsidP="00CA19CB">
      <w:pPr>
        <w:spacing w:line="240" w:lineRule="auto"/>
        <w:rPr>
          <w:sz w:val="20"/>
          <w:szCs w:val="20"/>
        </w:rPr>
      </w:pPr>
      <w:r>
        <w:rPr>
          <w:vertAlign w:val="superscript"/>
        </w:rPr>
        <w:footnoteRef/>
      </w:r>
      <w:r>
        <w:rPr>
          <w:sz w:val="20"/>
          <w:szCs w:val="20"/>
        </w:rPr>
        <w:t xml:space="preserve"> </w:t>
      </w:r>
      <w:r w:rsidR="00B9405B">
        <w:rPr>
          <w:sz w:val="20"/>
          <w:szCs w:val="20"/>
        </w:rPr>
        <w:t>CPC</w:t>
      </w:r>
      <w:r>
        <w:rPr>
          <w:sz w:val="20"/>
          <w:szCs w:val="20"/>
        </w:rPr>
        <w:t>, s 22(2).</w:t>
      </w:r>
    </w:p>
  </w:footnote>
  <w:footnote w:id="11">
    <w:p w14:paraId="45F1D1EF" w14:textId="77777777" w:rsidR="00E17EC8" w:rsidRDefault="00E17EC8" w:rsidP="00810903">
      <w:pPr>
        <w:spacing w:line="240" w:lineRule="auto"/>
        <w:rPr>
          <w:sz w:val="20"/>
          <w:szCs w:val="20"/>
        </w:rPr>
      </w:pPr>
      <w:r>
        <w:rPr>
          <w:vertAlign w:val="superscript"/>
        </w:rPr>
        <w:footnoteRef/>
      </w:r>
      <w:r>
        <w:rPr>
          <w:sz w:val="20"/>
          <w:szCs w:val="20"/>
        </w:rPr>
        <w:t xml:space="preserve"> Lionel Leo and Chen Siyuan, </w:t>
      </w:r>
      <w:r w:rsidRPr="00611863">
        <w:rPr>
          <w:i/>
          <w:iCs/>
          <w:sz w:val="20"/>
          <w:szCs w:val="20"/>
        </w:rPr>
        <w:t>Law of Evidence in Singapore</w:t>
      </w:r>
      <w:r>
        <w:rPr>
          <w:sz w:val="20"/>
          <w:szCs w:val="20"/>
        </w:rPr>
        <w:t xml:space="preserve"> (Sweet &amp; Maxwell, 2016) (“Leo and Chen”), at p 523.</w:t>
      </w:r>
    </w:p>
  </w:footnote>
  <w:footnote w:id="12">
    <w:p w14:paraId="14A61C08" w14:textId="685E72E9" w:rsidR="00F671E9" w:rsidRDefault="00F671E9" w:rsidP="00810903">
      <w:pPr>
        <w:spacing w:line="240" w:lineRule="auto"/>
        <w:rPr>
          <w:sz w:val="20"/>
          <w:szCs w:val="20"/>
        </w:rPr>
      </w:pPr>
      <w:r>
        <w:rPr>
          <w:vertAlign w:val="superscript"/>
        </w:rPr>
        <w:footnoteRef/>
      </w:r>
      <w:r>
        <w:rPr>
          <w:sz w:val="20"/>
          <w:szCs w:val="20"/>
        </w:rPr>
        <w:t xml:space="preserve"> </w:t>
      </w:r>
      <w:r w:rsidR="00EE4834" w:rsidRPr="00EE4834">
        <w:rPr>
          <w:sz w:val="20"/>
          <w:szCs w:val="20"/>
        </w:rPr>
        <w:t>Leo and Chen</w:t>
      </w:r>
      <w:r>
        <w:rPr>
          <w:sz w:val="20"/>
          <w:szCs w:val="20"/>
        </w:rPr>
        <w:t xml:space="preserve">, </w:t>
      </w:r>
      <w:r w:rsidR="00EE4834" w:rsidRPr="00EE4834">
        <w:rPr>
          <w:i/>
          <w:iCs/>
          <w:sz w:val="20"/>
          <w:szCs w:val="20"/>
        </w:rPr>
        <w:t>id</w:t>
      </w:r>
      <w:r w:rsidR="00EE4834">
        <w:rPr>
          <w:sz w:val="20"/>
          <w:szCs w:val="20"/>
        </w:rPr>
        <w:t xml:space="preserve">, </w:t>
      </w:r>
      <w:r>
        <w:rPr>
          <w:sz w:val="20"/>
          <w:szCs w:val="20"/>
        </w:rPr>
        <w:t xml:space="preserve">at p 520; Law Society of Singapore, </w:t>
      </w:r>
      <w:r w:rsidRPr="00611863">
        <w:rPr>
          <w:i/>
          <w:iCs/>
          <w:sz w:val="20"/>
          <w:szCs w:val="20"/>
        </w:rPr>
        <w:t>Report of the Council of the Law Society on the Draft Criminal Procedure Code Bill 2009</w:t>
      </w:r>
      <w:r>
        <w:rPr>
          <w:i/>
          <w:iCs/>
          <w:sz w:val="20"/>
          <w:szCs w:val="20"/>
        </w:rPr>
        <w:t xml:space="preserve"> </w:t>
      </w:r>
      <w:r>
        <w:rPr>
          <w:sz w:val="20"/>
          <w:szCs w:val="20"/>
        </w:rPr>
        <w:t>(“</w:t>
      </w:r>
      <w:r w:rsidRPr="00611863">
        <w:rPr>
          <w:i/>
          <w:iCs/>
          <w:sz w:val="20"/>
          <w:szCs w:val="20"/>
        </w:rPr>
        <w:t>Report on Draft CPC Bill</w:t>
      </w:r>
      <w:r>
        <w:rPr>
          <w:sz w:val="20"/>
          <w:szCs w:val="20"/>
        </w:rPr>
        <w:t>”), at p 28.</w:t>
      </w:r>
    </w:p>
  </w:footnote>
  <w:footnote w:id="13">
    <w:p w14:paraId="32217E18" w14:textId="0A6B49E9" w:rsidR="002402AD" w:rsidRPr="002402AD" w:rsidRDefault="002402AD" w:rsidP="00CA19CB">
      <w:pPr>
        <w:pStyle w:val="FootnoteText"/>
        <w:spacing w:line="240" w:lineRule="auto"/>
        <w:rPr>
          <w:lang w:val="en-US"/>
        </w:rPr>
      </w:pPr>
      <w:r>
        <w:rPr>
          <w:rStyle w:val="FootnoteReference"/>
        </w:rPr>
        <w:footnoteRef/>
      </w:r>
      <w:r>
        <w:t xml:space="preserve"> </w:t>
      </w:r>
      <w:r w:rsidR="003972EF">
        <w:rPr>
          <w:i/>
          <w:iCs/>
        </w:rPr>
        <w:t>PP</w:t>
      </w:r>
      <w:r w:rsidRPr="00680145">
        <w:rPr>
          <w:i/>
          <w:iCs/>
        </w:rPr>
        <w:t xml:space="preserve"> v Omar bin </w:t>
      </w:r>
      <w:proofErr w:type="spellStart"/>
      <w:r w:rsidRPr="00680145">
        <w:rPr>
          <w:i/>
          <w:iCs/>
        </w:rPr>
        <w:t>Yacob</w:t>
      </w:r>
      <w:proofErr w:type="spellEnd"/>
      <w:r w:rsidRPr="00680145">
        <w:rPr>
          <w:i/>
          <w:iCs/>
        </w:rPr>
        <w:t xml:space="preserve"> </w:t>
      </w:r>
      <w:proofErr w:type="spellStart"/>
      <w:r w:rsidRPr="00680145">
        <w:rPr>
          <w:i/>
          <w:iCs/>
        </w:rPr>
        <w:t>Bamadhaj</w:t>
      </w:r>
      <w:proofErr w:type="spellEnd"/>
      <w:r w:rsidRPr="002402AD">
        <w:t xml:space="preserve"> [2021] SGHC 46</w:t>
      </w:r>
      <w:r w:rsidR="00680145">
        <w:t xml:space="preserve"> (“</w:t>
      </w:r>
      <w:r w:rsidR="00680145" w:rsidRPr="00680145">
        <w:rPr>
          <w:i/>
          <w:iCs/>
        </w:rPr>
        <w:t>Omar</w:t>
      </w:r>
      <w:r w:rsidR="00680145">
        <w:t>”)</w:t>
      </w:r>
      <w:r w:rsidRPr="002402AD">
        <w:t xml:space="preserve">, at </w:t>
      </w:r>
      <w:r>
        <w:t>[8]</w:t>
      </w:r>
      <w:r w:rsidRPr="002402AD">
        <w:t>.</w:t>
      </w:r>
    </w:p>
  </w:footnote>
  <w:footnote w:id="14">
    <w:p w14:paraId="438E1F1F" w14:textId="77777777" w:rsidR="00F671E9" w:rsidRDefault="00F671E9" w:rsidP="00CA19CB">
      <w:pPr>
        <w:spacing w:line="240" w:lineRule="auto"/>
        <w:rPr>
          <w:sz w:val="20"/>
          <w:szCs w:val="20"/>
        </w:rPr>
      </w:pPr>
      <w:r>
        <w:rPr>
          <w:vertAlign w:val="superscript"/>
        </w:rPr>
        <w:footnoteRef/>
      </w:r>
      <w:r>
        <w:rPr>
          <w:sz w:val="20"/>
          <w:szCs w:val="20"/>
        </w:rPr>
        <w:t xml:space="preserve"> </w:t>
      </w:r>
      <w:r w:rsidRPr="00611863">
        <w:rPr>
          <w:i/>
          <w:iCs/>
          <w:sz w:val="20"/>
          <w:szCs w:val="20"/>
        </w:rPr>
        <w:t>PP v Kannan s/o R Kumaran</w:t>
      </w:r>
      <w:r>
        <w:rPr>
          <w:sz w:val="20"/>
          <w:szCs w:val="20"/>
        </w:rPr>
        <w:t xml:space="preserve"> [2021] SGHC 36 (“</w:t>
      </w:r>
      <w:r w:rsidRPr="00611863">
        <w:rPr>
          <w:i/>
          <w:iCs/>
          <w:sz w:val="20"/>
          <w:szCs w:val="20"/>
        </w:rPr>
        <w:t>Kannan</w:t>
      </w:r>
      <w:r>
        <w:rPr>
          <w:sz w:val="20"/>
          <w:szCs w:val="20"/>
        </w:rPr>
        <w:t xml:space="preserve">”) at [22]; </w:t>
      </w:r>
      <w:r w:rsidRPr="00611863">
        <w:rPr>
          <w:i/>
          <w:iCs/>
          <w:sz w:val="20"/>
          <w:szCs w:val="20"/>
        </w:rPr>
        <w:t xml:space="preserve">Muhammad bin Abdullah v PP </w:t>
      </w:r>
      <w:r w:rsidRPr="00611863">
        <w:rPr>
          <w:sz w:val="20"/>
          <w:szCs w:val="20"/>
        </w:rPr>
        <w:t>[2017] SGCA 04</w:t>
      </w:r>
      <w:r>
        <w:rPr>
          <w:sz w:val="20"/>
          <w:szCs w:val="20"/>
        </w:rPr>
        <w:t xml:space="preserve"> (“</w:t>
      </w:r>
      <w:r w:rsidRPr="00611863">
        <w:rPr>
          <w:i/>
          <w:iCs/>
          <w:sz w:val="20"/>
          <w:szCs w:val="20"/>
        </w:rPr>
        <w:t>Abdullah</w:t>
      </w:r>
      <w:r>
        <w:rPr>
          <w:sz w:val="20"/>
          <w:szCs w:val="20"/>
        </w:rPr>
        <w:t xml:space="preserve">”) at [21]; </w:t>
      </w:r>
      <w:r w:rsidRPr="00611863">
        <w:rPr>
          <w:i/>
          <w:iCs/>
          <w:sz w:val="20"/>
          <w:szCs w:val="20"/>
        </w:rPr>
        <w:t>Mohamad Noor bin Abdullah</w:t>
      </w:r>
      <w:r>
        <w:rPr>
          <w:sz w:val="20"/>
          <w:szCs w:val="20"/>
        </w:rPr>
        <w:t xml:space="preserve"> [2017] 3 SLR 478 (“</w:t>
      </w:r>
      <w:r w:rsidRPr="00611863">
        <w:rPr>
          <w:i/>
          <w:iCs/>
          <w:sz w:val="20"/>
          <w:szCs w:val="20"/>
        </w:rPr>
        <w:t>Noor</w:t>
      </w:r>
      <w:r>
        <w:rPr>
          <w:sz w:val="20"/>
          <w:szCs w:val="20"/>
        </w:rPr>
        <w:t>”) at [9(d)].</w:t>
      </w:r>
    </w:p>
  </w:footnote>
  <w:footnote w:id="15">
    <w:p w14:paraId="3E4CB54A" w14:textId="724AD07A" w:rsidR="00F671E9" w:rsidRDefault="00F671E9" w:rsidP="00CA19CB">
      <w:pPr>
        <w:spacing w:line="240" w:lineRule="auto"/>
        <w:rPr>
          <w:sz w:val="20"/>
          <w:szCs w:val="20"/>
        </w:rPr>
      </w:pPr>
      <w:r>
        <w:rPr>
          <w:vertAlign w:val="superscript"/>
        </w:rPr>
        <w:footnoteRef/>
      </w:r>
      <w:r>
        <w:rPr>
          <w:sz w:val="20"/>
          <w:szCs w:val="20"/>
        </w:rPr>
        <w:t xml:space="preserve"> </w:t>
      </w:r>
      <w:bookmarkStart w:id="0" w:name="_Hlk79016890"/>
      <w:r>
        <w:rPr>
          <w:sz w:val="20"/>
          <w:szCs w:val="20"/>
        </w:rPr>
        <w:t xml:space="preserve">Law Society of Singapore, </w:t>
      </w:r>
      <w:r w:rsidRPr="00611863">
        <w:rPr>
          <w:i/>
          <w:iCs/>
          <w:sz w:val="20"/>
          <w:szCs w:val="20"/>
        </w:rPr>
        <w:t>Report on Draft CPC Bill</w:t>
      </w:r>
      <w:r>
        <w:rPr>
          <w:sz w:val="20"/>
          <w:szCs w:val="20"/>
        </w:rPr>
        <w:t xml:space="preserve">, </w:t>
      </w:r>
      <w:r w:rsidRPr="00CE7D98">
        <w:rPr>
          <w:i/>
          <w:iCs/>
          <w:sz w:val="20"/>
          <w:szCs w:val="20"/>
        </w:rPr>
        <w:t>supra</w:t>
      </w:r>
      <w:r>
        <w:rPr>
          <w:sz w:val="20"/>
          <w:szCs w:val="20"/>
        </w:rPr>
        <w:t xml:space="preserve"> n </w:t>
      </w:r>
      <w:r w:rsidR="005A4E47">
        <w:rPr>
          <w:sz w:val="20"/>
          <w:szCs w:val="20"/>
        </w:rPr>
        <w:t>10</w:t>
      </w:r>
      <w:r>
        <w:rPr>
          <w:sz w:val="20"/>
          <w:szCs w:val="20"/>
        </w:rPr>
        <w:t xml:space="preserve">, at </w:t>
      </w:r>
      <w:bookmarkEnd w:id="0"/>
      <w:r>
        <w:rPr>
          <w:sz w:val="20"/>
          <w:szCs w:val="20"/>
        </w:rPr>
        <w:t>p 28; suggested from CPC s 22.</w:t>
      </w:r>
    </w:p>
  </w:footnote>
  <w:footnote w:id="16">
    <w:p w14:paraId="1FD3A73C" w14:textId="77777777" w:rsidR="00F671E9" w:rsidRDefault="00F671E9" w:rsidP="00CA19CB">
      <w:pPr>
        <w:spacing w:line="240" w:lineRule="auto"/>
        <w:rPr>
          <w:sz w:val="20"/>
          <w:szCs w:val="20"/>
        </w:rPr>
      </w:pPr>
      <w:r>
        <w:rPr>
          <w:vertAlign w:val="superscript"/>
        </w:rPr>
        <w:footnoteRef/>
      </w:r>
      <w:r>
        <w:rPr>
          <w:sz w:val="20"/>
          <w:szCs w:val="20"/>
        </w:rPr>
        <w:t xml:space="preserve"> CPC, s 22(1).</w:t>
      </w:r>
    </w:p>
  </w:footnote>
  <w:footnote w:id="17">
    <w:p w14:paraId="15C369FD" w14:textId="77777777" w:rsidR="00F671E9" w:rsidRDefault="00F671E9" w:rsidP="00CA19CB">
      <w:pPr>
        <w:spacing w:line="240" w:lineRule="auto"/>
        <w:rPr>
          <w:sz w:val="20"/>
          <w:szCs w:val="20"/>
        </w:rPr>
      </w:pPr>
      <w:r>
        <w:rPr>
          <w:vertAlign w:val="superscript"/>
        </w:rPr>
        <w:footnoteRef/>
      </w:r>
      <w:r>
        <w:rPr>
          <w:sz w:val="20"/>
          <w:szCs w:val="20"/>
        </w:rPr>
        <w:t xml:space="preserve"> CPC, s 22(1).</w:t>
      </w:r>
    </w:p>
  </w:footnote>
  <w:footnote w:id="18">
    <w:p w14:paraId="35386D09" w14:textId="77777777" w:rsidR="00E17EC8" w:rsidRDefault="00E17EC8" w:rsidP="00810903">
      <w:pPr>
        <w:spacing w:line="240" w:lineRule="auto"/>
        <w:rPr>
          <w:sz w:val="20"/>
          <w:szCs w:val="20"/>
        </w:rPr>
      </w:pPr>
      <w:r>
        <w:rPr>
          <w:vertAlign w:val="superscript"/>
        </w:rPr>
        <w:footnoteRef/>
      </w:r>
      <w:r>
        <w:rPr>
          <w:sz w:val="20"/>
          <w:szCs w:val="20"/>
        </w:rPr>
        <w:t xml:space="preserve"> CPC, s 22(3).</w:t>
      </w:r>
    </w:p>
  </w:footnote>
  <w:footnote w:id="19">
    <w:p w14:paraId="50BBCBBC" w14:textId="23F07045" w:rsidR="00E17EC8" w:rsidRDefault="00E17EC8" w:rsidP="00810903">
      <w:pPr>
        <w:spacing w:line="240" w:lineRule="auto"/>
        <w:rPr>
          <w:sz w:val="20"/>
          <w:szCs w:val="20"/>
        </w:rPr>
      </w:pPr>
      <w:r>
        <w:rPr>
          <w:vertAlign w:val="superscript"/>
        </w:rPr>
        <w:footnoteRef/>
      </w:r>
      <w:r>
        <w:rPr>
          <w:sz w:val="20"/>
          <w:szCs w:val="20"/>
        </w:rPr>
        <w:t xml:space="preserve"> CPC, s 22(4).</w:t>
      </w:r>
    </w:p>
  </w:footnote>
  <w:footnote w:id="20">
    <w:p w14:paraId="72252C64" w14:textId="3EB41E04" w:rsidR="00E17EC8" w:rsidRPr="00A26018" w:rsidRDefault="00E17EC8" w:rsidP="00CA19CB">
      <w:pPr>
        <w:pStyle w:val="FootnoteText"/>
        <w:spacing w:line="240" w:lineRule="auto"/>
        <w:rPr>
          <w:lang w:val="en-US"/>
        </w:rPr>
      </w:pPr>
      <w:r>
        <w:rPr>
          <w:rStyle w:val="FootnoteReference"/>
        </w:rPr>
        <w:footnoteRef/>
      </w:r>
      <w:r>
        <w:t xml:space="preserve"> </w:t>
      </w:r>
      <w:r>
        <w:rPr>
          <w:lang w:val="en-US"/>
        </w:rPr>
        <w:t>CPC</w:t>
      </w:r>
      <w:r w:rsidR="000216AA">
        <w:rPr>
          <w:lang w:val="en-US"/>
        </w:rPr>
        <w:t>,</w:t>
      </w:r>
      <w:r>
        <w:rPr>
          <w:lang w:val="en-US"/>
        </w:rPr>
        <w:t xml:space="preserve"> s 23(1).</w:t>
      </w:r>
    </w:p>
  </w:footnote>
  <w:footnote w:id="21">
    <w:p w14:paraId="1724F636" w14:textId="1EF066B5" w:rsidR="00E17EC8" w:rsidRPr="00A26018" w:rsidRDefault="00E17EC8" w:rsidP="00CA19CB">
      <w:pPr>
        <w:pStyle w:val="FootnoteText"/>
        <w:spacing w:line="240" w:lineRule="auto"/>
        <w:rPr>
          <w:lang w:val="en-US"/>
        </w:rPr>
      </w:pPr>
      <w:r>
        <w:rPr>
          <w:rStyle w:val="FootnoteReference"/>
        </w:rPr>
        <w:footnoteRef/>
      </w:r>
      <w:r>
        <w:t xml:space="preserve"> </w:t>
      </w:r>
      <w:r>
        <w:rPr>
          <w:lang w:val="en-US"/>
        </w:rPr>
        <w:t>CPC</w:t>
      </w:r>
      <w:r w:rsidR="000216AA">
        <w:rPr>
          <w:lang w:val="en-US"/>
        </w:rPr>
        <w:t>,</w:t>
      </w:r>
      <w:r>
        <w:rPr>
          <w:lang w:val="en-US"/>
        </w:rPr>
        <w:t xml:space="preserve"> s 23(1).</w:t>
      </w:r>
    </w:p>
  </w:footnote>
  <w:footnote w:id="22">
    <w:p w14:paraId="0B936E73" w14:textId="3453D76E" w:rsidR="00DF49B4" w:rsidRPr="00DF49B4" w:rsidRDefault="00DF49B4" w:rsidP="00CA19CB">
      <w:pPr>
        <w:pStyle w:val="FootnoteText"/>
        <w:spacing w:line="240" w:lineRule="auto"/>
        <w:rPr>
          <w:lang w:val="en-US"/>
        </w:rPr>
      </w:pPr>
      <w:r>
        <w:rPr>
          <w:rStyle w:val="FootnoteReference"/>
        </w:rPr>
        <w:footnoteRef/>
      </w:r>
      <w:r>
        <w:t xml:space="preserve"> </w:t>
      </w:r>
      <w:r>
        <w:rPr>
          <w:lang w:val="en-US"/>
        </w:rPr>
        <w:t>CPC s 22(1).</w:t>
      </w:r>
    </w:p>
  </w:footnote>
  <w:footnote w:id="23">
    <w:p w14:paraId="5BA6E7F6" w14:textId="3B2CC87E" w:rsidR="001A6B81" w:rsidRPr="001A6B81" w:rsidRDefault="001A6B81" w:rsidP="00CA19CB">
      <w:pPr>
        <w:pStyle w:val="FootnoteText"/>
        <w:spacing w:line="240" w:lineRule="auto"/>
        <w:rPr>
          <w:lang w:val="en-US"/>
        </w:rPr>
      </w:pPr>
      <w:r>
        <w:rPr>
          <w:rStyle w:val="FootnoteReference"/>
        </w:rPr>
        <w:footnoteRef/>
      </w:r>
      <w:r>
        <w:t xml:space="preserve"> </w:t>
      </w:r>
      <w:r>
        <w:rPr>
          <w:lang w:val="en-US"/>
        </w:rPr>
        <w:t xml:space="preserve">Leo and Chen, </w:t>
      </w:r>
      <w:r w:rsidR="001658D5" w:rsidRPr="001658D5">
        <w:rPr>
          <w:i/>
          <w:iCs/>
          <w:lang w:val="en-US"/>
        </w:rPr>
        <w:t>supra</w:t>
      </w:r>
      <w:r w:rsidR="001658D5">
        <w:rPr>
          <w:lang w:val="en-US"/>
        </w:rPr>
        <w:t xml:space="preserve"> n </w:t>
      </w:r>
      <w:r w:rsidR="00941F11">
        <w:rPr>
          <w:lang w:val="en-US"/>
        </w:rPr>
        <w:t>9</w:t>
      </w:r>
      <w:r w:rsidR="001658D5">
        <w:rPr>
          <w:lang w:val="en-US"/>
        </w:rPr>
        <w:t xml:space="preserve">, </w:t>
      </w:r>
      <w:r>
        <w:rPr>
          <w:lang w:val="en-US"/>
        </w:rPr>
        <w:t>at p 521.</w:t>
      </w:r>
    </w:p>
  </w:footnote>
  <w:footnote w:id="24">
    <w:p w14:paraId="525383DC" w14:textId="77777777" w:rsidR="00603424" w:rsidRDefault="00603424" w:rsidP="00CA19CB">
      <w:pPr>
        <w:spacing w:line="240" w:lineRule="auto"/>
        <w:rPr>
          <w:sz w:val="20"/>
          <w:szCs w:val="20"/>
        </w:rPr>
      </w:pPr>
      <w:r>
        <w:rPr>
          <w:vertAlign w:val="superscript"/>
        </w:rPr>
        <w:footnoteRef/>
      </w:r>
      <w:r>
        <w:rPr>
          <w:sz w:val="20"/>
          <w:szCs w:val="20"/>
        </w:rPr>
        <w:t xml:space="preserve"> CPC s 23(3). </w:t>
      </w:r>
    </w:p>
  </w:footnote>
  <w:footnote w:id="25">
    <w:p w14:paraId="206B9314" w14:textId="77777777" w:rsidR="00603424" w:rsidRPr="00F320F6" w:rsidRDefault="00603424" w:rsidP="00CA19CB">
      <w:pPr>
        <w:pStyle w:val="FootnoteText"/>
        <w:spacing w:line="240" w:lineRule="auto"/>
        <w:rPr>
          <w:lang w:val="en-US"/>
        </w:rPr>
      </w:pPr>
      <w:r>
        <w:rPr>
          <w:rStyle w:val="FootnoteReference"/>
        </w:rPr>
        <w:footnoteRef/>
      </w:r>
      <w:r>
        <w:t xml:space="preserve"> </w:t>
      </w:r>
      <w:r>
        <w:rPr>
          <w:lang w:val="en-US"/>
        </w:rPr>
        <w:t>CPC s 23(3</w:t>
      </w:r>
      <w:proofErr w:type="gramStart"/>
      <w:r>
        <w:rPr>
          <w:lang w:val="en-US"/>
        </w:rPr>
        <w:t>A)(</w:t>
      </w:r>
      <w:proofErr w:type="gramEnd"/>
      <w:r>
        <w:rPr>
          <w:lang w:val="en-US"/>
        </w:rPr>
        <w:t>a) and (c).</w:t>
      </w:r>
    </w:p>
  </w:footnote>
  <w:footnote w:id="26">
    <w:p w14:paraId="59F617F1" w14:textId="77777777" w:rsidR="00603424" w:rsidRPr="00F320F6" w:rsidRDefault="00603424" w:rsidP="00CA19CB">
      <w:pPr>
        <w:pStyle w:val="FootnoteText"/>
        <w:spacing w:line="240" w:lineRule="auto"/>
        <w:rPr>
          <w:lang w:val="en-US"/>
        </w:rPr>
      </w:pPr>
      <w:r>
        <w:rPr>
          <w:rStyle w:val="FootnoteReference"/>
        </w:rPr>
        <w:footnoteRef/>
      </w:r>
      <w:r>
        <w:t xml:space="preserve"> </w:t>
      </w:r>
      <w:r>
        <w:rPr>
          <w:lang w:val="en-US"/>
        </w:rPr>
        <w:t>CPC s 23(3</w:t>
      </w:r>
      <w:proofErr w:type="gramStart"/>
      <w:r>
        <w:rPr>
          <w:lang w:val="en-US"/>
        </w:rPr>
        <w:t>A)(</w:t>
      </w:r>
      <w:proofErr w:type="gramEnd"/>
      <w:r>
        <w:rPr>
          <w:lang w:val="en-US"/>
        </w:rPr>
        <w:t>b).</w:t>
      </w:r>
    </w:p>
  </w:footnote>
  <w:footnote w:id="27">
    <w:p w14:paraId="13338BA6" w14:textId="77777777" w:rsidR="00A925E0" w:rsidRPr="00A26018" w:rsidRDefault="00A925E0" w:rsidP="00CA19CB">
      <w:pPr>
        <w:pStyle w:val="FootnoteText"/>
        <w:spacing w:line="240" w:lineRule="auto"/>
        <w:rPr>
          <w:lang w:val="en-US"/>
        </w:rPr>
      </w:pPr>
      <w:r>
        <w:rPr>
          <w:rStyle w:val="FootnoteReference"/>
        </w:rPr>
        <w:footnoteRef/>
      </w:r>
      <w:r>
        <w:t xml:space="preserve"> </w:t>
      </w:r>
      <w:r>
        <w:rPr>
          <w:lang w:val="en-US"/>
        </w:rPr>
        <w:t>CPC s 23(1).</w:t>
      </w:r>
    </w:p>
  </w:footnote>
  <w:footnote w:id="28">
    <w:p w14:paraId="24164D94" w14:textId="77777777" w:rsidR="00A925E0" w:rsidRPr="00A26018" w:rsidRDefault="00A925E0" w:rsidP="00CA19CB">
      <w:pPr>
        <w:pStyle w:val="FootnoteText"/>
        <w:spacing w:line="240" w:lineRule="auto"/>
        <w:rPr>
          <w:lang w:val="en-US"/>
        </w:rPr>
      </w:pPr>
      <w:r>
        <w:rPr>
          <w:rStyle w:val="FootnoteReference"/>
        </w:rPr>
        <w:footnoteRef/>
      </w:r>
      <w:r>
        <w:t xml:space="preserve"> </w:t>
      </w:r>
      <w:r>
        <w:rPr>
          <w:lang w:val="en-US"/>
        </w:rPr>
        <w:t>CPC s 23(1).</w:t>
      </w:r>
    </w:p>
  </w:footnote>
  <w:footnote w:id="29">
    <w:p w14:paraId="4B87322A" w14:textId="40145108" w:rsidR="00603424" w:rsidRDefault="00603424" w:rsidP="00CA19CB">
      <w:pPr>
        <w:spacing w:line="240" w:lineRule="auto"/>
        <w:rPr>
          <w:sz w:val="20"/>
          <w:szCs w:val="20"/>
        </w:rPr>
      </w:pPr>
      <w:r>
        <w:rPr>
          <w:vertAlign w:val="superscript"/>
        </w:rPr>
        <w:footnoteRef/>
      </w:r>
      <w:r>
        <w:rPr>
          <w:sz w:val="20"/>
          <w:szCs w:val="20"/>
        </w:rPr>
        <w:t xml:space="preserve"> Leo and Chen, </w:t>
      </w:r>
      <w:r w:rsidRPr="00611863">
        <w:rPr>
          <w:i/>
          <w:iCs/>
          <w:sz w:val="20"/>
          <w:szCs w:val="20"/>
        </w:rPr>
        <w:t>supra</w:t>
      </w:r>
      <w:r>
        <w:rPr>
          <w:sz w:val="20"/>
          <w:szCs w:val="20"/>
        </w:rPr>
        <w:t xml:space="preserve"> n </w:t>
      </w:r>
      <w:r w:rsidR="00941F11">
        <w:rPr>
          <w:sz w:val="20"/>
          <w:szCs w:val="20"/>
        </w:rPr>
        <w:t>9</w:t>
      </w:r>
      <w:r>
        <w:rPr>
          <w:sz w:val="20"/>
          <w:szCs w:val="20"/>
        </w:rPr>
        <w:t>, at p 526.</w:t>
      </w:r>
      <w:r w:rsidR="00333DC7">
        <w:rPr>
          <w:sz w:val="20"/>
          <w:szCs w:val="20"/>
        </w:rPr>
        <w:t xml:space="preserve"> </w:t>
      </w:r>
      <w:r w:rsidR="00333DC7" w:rsidRPr="00333DC7">
        <w:rPr>
          <w:sz w:val="20"/>
          <w:szCs w:val="20"/>
        </w:rPr>
        <w:t>The privilege against self-incrimination allows a person not to say anything that might expose him to a “criminal charge, penalty or forfeiture”.</w:t>
      </w:r>
      <w:r w:rsidR="00333DC7">
        <w:rPr>
          <w:sz w:val="20"/>
          <w:szCs w:val="20"/>
        </w:rPr>
        <w:t xml:space="preserve"> </w:t>
      </w:r>
      <w:r w:rsidR="00333DC7" w:rsidRPr="00333DC7">
        <w:rPr>
          <w:i/>
          <w:iCs/>
          <w:sz w:val="20"/>
          <w:szCs w:val="20"/>
        </w:rPr>
        <w:t xml:space="preserve">Law Society of Singapore v </w:t>
      </w:r>
      <w:proofErr w:type="spellStart"/>
      <w:r w:rsidR="00333DC7" w:rsidRPr="00333DC7">
        <w:rPr>
          <w:i/>
          <w:iCs/>
          <w:sz w:val="20"/>
          <w:szCs w:val="20"/>
        </w:rPr>
        <w:t>Shanmugan</w:t>
      </w:r>
      <w:proofErr w:type="spellEnd"/>
      <w:r w:rsidR="00333DC7" w:rsidRPr="00333DC7">
        <w:rPr>
          <w:i/>
          <w:iCs/>
          <w:sz w:val="20"/>
          <w:szCs w:val="20"/>
        </w:rPr>
        <w:t xml:space="preserve"> Manohar</w:t>
      </w:r>
      <w:r w:rsidR="00333DC7" w:rsidRPr="00333DC7">
        <w:rPr>
          <w:sz w:val="20"/>
          <w:szCs w:val="20"/>
        </w:rPr>
        <w:t xml:space="preserve"> [2021] SGHC 201</w:t>
      </w:r>
      <w:r w:rsidR="008D7606">
        <w:rPr>
          <w:sz w:val="20"/>
          <w:szCs w:val="20"/>
        </w:rPr>
        <w:t xml:space="preserve"> (“</w:t>
      </w:r>
      <w:r w:rsidR="008D7606" w:rsidRPr="008D7606">
        <w:rPr>
          <w:i/>
          <w:iCs/>
          <w:sz w:val="20"/>
          <w:szCs w:val="20"/>
        </w:rPr>
        <w:t>Manohar</w:t>
      </w:r>
      <w:r w:rsidR="008D7606">
        <w:rPr>
          <w:sz w:val="20"/>
          <w:szCs w:val="20"/>
        </w:rPr>
        <w:t>”), at [94]</w:t>
      </w:r>
      <w:r w:rsidR="00333DC7" w:rsidRPr="00333DC7">
        <w:rPr>
          <w:sz w:val="20"/>
          <w:szCs w:val="20"/>
        </w:rPr>
        <w:t>.</w:t>
      </w:r>
    </w:p>
  </w:footnote>
  <w:footnote w:id="30">
    <w:p w14:paraId="5D12EA6C" w14:textId="6726E5B1" w:rsidR="00DF49B4" w:rsidRDefault="00DF49B4" w:rsidP="00CA19CB">
      <w:pPr>
        <w:spacing w:line="240" w:lineRule="auto"/>
        <w:rPr>
          <w:sz w:val="20"/>
          <w:szCs w:val="20"/>
        </w:rPr>
      </w:pPr>
      <w:r>
        <w:rPr>
          <w:vertAlign w:val="superscript"/>
        </w:rPr>
        <w:footnoteRef/>
      </w:r>
      <w:r>
        <w:rPr>
          <w:sz w:val="20"/>
          <w:szCs w:val="20"/>
        </w:rPr>
        <w:t xml:space="preserve"> CPC s 23(2). </w:t>
      </w:r>
    </w:p>
  </w:footnote>
  <w:footnote w:id="31">
    <w:p w14:paraId="74808D5F" w14:textId="3D65E189" w:rsidR="00E17EC8" w:rsidRDefault="00E17EC8" w:rsidP="00810903">
      <w:pPr>
        <w:spacing w:line="240" w:lineRule="auto"/>
        <w:rPr>
          <w:sz w:val="20"/>
          <w:szCs w:val="20"/>
        </w:rPr>
      </w:pPr>
      <w:r>
        <w:rPr>
          <w:vertAlign w:val="superscript"/>
        </w:rPr>
        <w:footnoteRef/>
      </w:r>
      <w:r>
        <w:rPr>
          <w:sz w:val="20"/>
          <w:szCs w:val="20"/>
        </w:rPr>
        <w:t xml:space="preserve"> </w:t>
      </w:r>
      <w:r w:rsidR="001A505B" w:rsidRPr="00B0554F">
        <w:rPr>
          <w:sz w:val="20"/>
          <w:szCs w:val="20"/>
        </w:rPr>
        <w:t>Leo and Chen</w:t>
      </w:r>
      <w:r>
        <w:rPr>
          <w:sz w:val="20"/>
          <w:szCs w:val="20"/>
        </w:rPr>
        <w:t xml:space="preserve">, </w:t>
      </w:r>
      <w:r w:rsidR="005E478D" w:rsidRPr="00611863">
        <w:rPr>
          <w:i/>
          <w:iCs/>
          <w:sz w:val="20"/>
          <w:szCs w:val="20"/>
        </w:rPr>
        <w:t>supra</w:t>
      </w:r>
      <w:r w:rsidR="005E478D">
        <w:rPr>
          <w:sz w:val="20"/>
          <w:szCs w:val="20"/>
        </w:rPr>
        <w:t xml:space="preserve"> n </w:t>
      </w:r>
      <w:r w:rsidR="00941F11">
        <w:rPr>
          <w:sz w:val="20"/>
          <w:szCs w:val="20"/>
        </w:rPr>
        <w:t>9</w:t>
      </w:r>
      <w:r w:rsidR="005E478D">
        <w:rPr>
          <w:sz w:val="20"/>
          <w:szCs w:val="20"/>
        </w:rPr>
        <w:t xml:space="preserve">, </w:t>
      </w:r>
      <w:r>
        <w:rPr>
          <w:sz w:val="20"/>
          <w:szCs w:val="20"/>
        </w:rPr>
        <w:t>at p 520, citing Chin Tet Yung, Criminal Procedure Code 2010: Confessions and Statements by Accused Persons Revisited (2012) 24(1) SALJ 60, at [60].</w:t>
      </w:r>
    </w:p>
  </w:footnote>
  <w:footnote w:id="32">
    <w:p w14:paraId="45C7D40E" w14:textId="3CE03827" w:rsidR="000F1BC4" w:rsidRPr="00351DF2" w:rsidRDefault="000F1BC4" w:rsidP="00CA19CB">
      <w:pPr>
        <w:pStyle w:val="FootnoteText"/>
        <w:spacing w:line="240" w:lineRule="auto"/>
      </w:pPr>
      <w:r>
        <w:rPr>
          <w:rStyle w:val="FootnoteReference"/>
        </w:rPr>
        <w:footnoteRef/>
      </w:r>
      <w:r>
        <w:t xml:space="preserve"> Evidence Act</w:t>
      </w:r>
      <w:r w:rsidR="00D9746D">
        <w:t xml:space="preserve"> (Cap 97, Rev Ed 1997)</w:t>
      </w:r>
      <w:r>
        <w:t>, s 5.</w:t>
      </w:r>
      <w:r w:rsidR="00D50CF3">
        <w:t xml:space="preserve"> </w:t>
      </w:r>
    </w:p>
  </w:footnote>
  <w:footnote w:id="33">
    <w:p w14:paraId="02BC6F93" w14:textId="4FA3865E" w:rsidR="00E17EC8" w:rsidRDefault="00E17EC8" w:rsidP="00CA19CB">
      <w:pPr>
        <w:spacing w:line="240" w:lineRule="auto"/>
        <w:rPr>
          <w:sz w:val="20"/>
          <w:szCs w:val="20"/>
        </w:rPr>
      </w:pPr>
      <w:r>
        <w:rPr>
          <w:vertAlign w:val="superscript"/>
        </w:rPr>
        <w:footnoteRef/>
      </w:r>
      <w:r>
        <w:rPr>
          <w:sz w:val="20"/>
          <w:szCs w:val="20"/>
        </w:rPr>
        <w:t xml:space="preserve"> </w:t>
      </w:r>
      <w:r w:rsidRPr="00B4712B">
        <w:rPr>
          <w:i/>
          <w:sz w:val="20"/>
        </w:rPr>
        <w:t xml:space="preserve">PP v </w:t>
      </w:r>
      <w:proofErr w:type="spellStart"/>
      <w:r w:rsidRPr="00B4712B">
        <w:rPr>
          <w:i/>
          <w:sz w:val="20"/>
        </w:rPr>
        <w:t>Siow</w:t>
      </w:r>
      <w:proofErr w:type="spellEnd"/>
      <w:r w:rsidRPr="00B4712B">
        <w:rPr>
          <w:i/>
          <w:sz w:val="20"/>
        </w:rPr>
        <w:t xml:space="preserve"> Kai Yuan Terence</w:t>
      </w:r>
      <w:r>
        <w:rPr>
          <w:sz w:val="20"/>
          <w:szCs w:val="20"/>
        </w:rPr>
        <w:t xml:space="preserve"> [2020] SGHC 82 </w:t>
      </w:r>
      <w:r w:rsidR="002F0F8D">
        <w:rPr>
          <w:sz w:val="20"/>
          <w:szCs w:val="20"/>
        </w:rPr>
        <w:t>(“</w:t>
      </w:r>
      <w:r w:rsidR="002F0F8D" w:rsidRPr="004813C2">
        <w:rPr>
          <w:i/>
          <w:iCs/>
          <w:sz w:val="20"/>
          <w:szCs w:val="20"/>
        </w:rPr>
        <w:t xml:space="preserve">Terence </w:t>
      </w:r>
      <w:proofErr w:type="spellStart"/>
      <w:r w:rsidR="002F0F8D" w:rsidRPr="004813C2">
        <w:rPr>
          <w:i/>
          <w:iCs/>
          <w:sz w:val="20"/>
          <w:szCs w:val="20"/>
        </w:rPr>
        <w:t>Siow</w:t>
      </w:r>
      <w:proofErr w:type="spellEnd"/>
      <w:r w:rsidR="002F0F8D">
        <w:rPr>
          <w:sz w:val="20"/>
          <w:szCs w:val="20"/>
        </w:rPr>
        <w:t xml:space="preserve">”), </w:t>
      </w:r>
      <w:r>
        <w:rPr>
          <w:sz w:val="20"/>
          <w:szCs w:val="20"/>
        </w:rPr>
        <w:t>at [56(a)(ii), (iii)].</w:t>
      </w:r>
    </w:p>
  </w:footnote>
  <w:footnote w:id="34">
    <w:p w14:paraId="32B30966" w14:textId="3A4D94BD" w:rsidR="00E17EC8" w:rsidRDefault="00E17EC8" w:rsidP="00CA19CB">
      <w:pPr>
        <w:spacing w:line="240" w:lineRule="auto"/>
        <w:rPr>
          <w:sz w:val="20"/>
          <w:szCs w:val="20"/>
        </w:rPr>
      </w:pPr>
      <w:r>
        <w:rPr>
          <w:vertAlign w:val="superscript"/>
        </w:rPr>
        <w:footnoteRef/>
      </w:r>
      <w:r>
        <w:rPr>
          <w:sz w:val="20"/>
          <w:szCs w:val="20"/>
        </w:rPr>
        <w:t xml:space="preserve"> </w:t>
      </w:r>
      <w:r w:rsidR="002F0F8D" w:rsidRPr="002F0F8D">
        <w:rPr>
          <w:i/>
          <w:iCs/>
          <w:sz w:val="20"/>
          <w:szCs w:val="20"/>
        </w:rPr>
        <w:t>Id</w:t>
      </w:r>
      <w:r w:rsidR="002F0F8D">
        <w:rPr>
          <w:sz w:val="20"/>
          <w:szCs w:val="20"/>
        </w:rPr>
        <w:t xml:space="preserve">, </w:t>
      </w:r>
      <w:r w:rsidRPr="002F0F8D">
        <w:rPr>
          <w:sz w:val="20"/>
          <w:szCs w:val="20"/>
        </w:rPr>
        <w:t>at</w:t>
      </w:r>
      <w:r>
        <w:rPr>
          <w:sz w:val="20"/>
          <w:szCs w:val="20"/>
        </w:rPr>
        <w:t xml:space="preserve"> [56(a)]; </w:t>
      </w:r>
      <w:r w:rsidRPr="004813C2">
        <w:rPr>
          <w:i/>
          <w:iCs/>
          <w:sz w:val="20"/>
          <w:szCs w:val="20"/>
        </w:rPr>
        <w:t>GCM v PP</w:t>
      </w:r>
      <w:r>
        <w:rPr>
          <w:sz w:val="20"/>
          <w:szCs w:val="20"/>
        </w:rPr>
        <w:t xml:space="preserve"> [2021] SGHC 18 (“</w:t>
      </w:r>
      <w:r w:rsidRPr="004813C2">
        <w:rPr>
          <w:i/>
          <w:iCs/>
          <w:sz w:val="20"/>
          <w:szCs w:val="20"/>
        </w:rPr>
        <w:t>GCM</w:t>
      </w:r>
      <w:r>
        <w:rPr>
          <w:sz w:val="20"/>
          <w:szCs w:val="20"/>
        </w:rPr>
        <w:t>”) at [33(a)].</w:t>
      </w:r>
    </w:p>
  </w:footnote>
  <w:footnote w:id="35">
    <w:p w14:paraId="197C5072" w14:textId="33A65ECD" w:rsidR="00E17EC8" w:rsidRDefault="00E17EC8" w:rsidP="00810903">
      <w:pPr>
        <w:spacing w:line="240" w:lineRule="auto"/>
        <w:rPr>
          <w:sz w:val="20"/>
          <w:szCs w:val="20"/>
        </w:rPr>
      </w:pPr>
      <w:r>
        <w:rPr>
          <w:vertAlign w:val="superscript"/>
        </w:rPr>
        <w:footnoteRef/>
      </w:r>
      <w:r>
        <w:rPr>
          <w:sz w:val="20"/>
          <w:szCs w:val="20"/>
        </w:rPr>
        <w:t xml:space="preserve"> </w:t>
      </w:r>
      <w:r w:rsidRPr="004813C2">
        <w:rPr>
          <w:i/>
          <w:iCs/>
          <w:sz w:val="20"/>
          <w:szCs w:val="20"/>
        </w:rPr>
        <w:t xml:space="preserve">Terence </w:t>
      </w:r>
      <w:proofErr w:type="spellStart"/>
      <w:r w:rsidRPr="004813C2">
        <w:rPr>
          <w:i/>
          <w:iCs/>
          <w:sz w:val="20"/>
          <w:szCs w:val="20"/>
        </w:rPr>
        <w:t>Siow</w:t>
      </w:r>
      <w:proofErr w:type="spellEnd"/>
      <w:r>
        <w:rPr>
          <w:sz w:val="20"/>
          <w:szCs w:val="20"/>
        </w:rPr>
        <w:t xml:space="preserve">, </w:t>
      </w:r>
      <w:r w:rsidRPr="004813C2">
        <w:rPr>
          <w:i/>
          <w:iCs/>
          <w:sz w:val="20"/>
          <w:szCs w:val="20"/>
        </w:rPr>
        <w:t>ibid</w:t>
      </w:r>
      <w:r w:rsidRPr="00536949">
        <w:rPr>
          <w:sz w:val="20"/>
          <w:szCs w:val="20"/>
        </w:rPr>
        <w:t>;</w:t>
      </w:r>
      <w:r>
        <w:rPr>
          <w:sz w:val="20"/>
          <w:szCs w:val="20"/>
        </w:rPr>
        <w:t xml:space="preserve"> </w:t>
      </w:r>
      <w:r w:rsidRPr="004813C2">
        <w:rPr>
          <w:i/>
          <w:iCs/>
          <w:sz w:val="20"/>
          <w:szCs w:val="20"/>
        </w:rPr>
        <w:t>GCM</w:t>
      </w:r>
      <w:r>
        <w:rPr>
          <w:sz w:val="20"/>
          <w:szCs w:val="20"/>
        </w:rPr>
        <w:t xml:space="preserve">, </w:t>
      </w:r>
      <w:r w:rsidRPr="004813C2">
        <w:rPr>
          <w:i/>
          <w:iCs/>
          <w:sz w:val="20"/>
          <w:szCs w:val="20"/>
        </w:rPr>
        <w:t>ibid</w:t>
      </w:r>
      <w:r>
        <w:rPr>
          <w:sz w:val="20"/>
          <w:szCs w:val="20"/>
        </w:rPr>
        <w:t xml:space="preserve">. </w:t>
      </w:r>
    </w:p>
  </w:footnote>
  <w:footnote w:id="36">
    <w:p w14:paraId="55093AD2" w14:textId="621260D2" w:rsidR="007E2CAF" w:rsidRPr="00FA3285" w:rsidRDefault="007E2CAF" w:rsidP="00CA19CB">
      <w:pPr>
        <w:pStyle w:val="FootnoteText"/>
        <w:spacing w:line="240" w:lineRule="auto"/>
        <w:rPr>
          <w:lang w:val="en-US"/>
        </w:rPr>
      </w:pPr>
      <w:r>
        <w:rPr>
          <w:rStyle w:val="FootnoteReference"/>
        </w:rPr>
        <w:footnoteRef/>
      </w:r>
      <w:r>
        <w:t xml:space="preserve"> </w:t>
      </w:r>
      <w:r w:rsidRPr="003A2E77">
        <w:rPr>
          <w:i/>
          <w:iCs/>
        </w:rPr>
        <w:t>PP v Wong Jia Yi</w:t>
      </w:r>
      <w:r>
        <w:t xml:space="preserve"> [2003] SGDC (“</w:t>
      </w:r>
      <w:r w:rsidRPr="007E2CAF">
        <w:rPr>
          <w:i/>
          <w:iCs/>
        </w:rPr>
        <w:t>Wong</w:t>
      </w:r>
      <w:r>
        <w:t xml:space="preserve">”), at [17] and [36], affirmed in </w:t>
      </w:r>
      <w:r w:rsidRPr="001B78C2">
        <w:rPr>
          <w:i/>
          <w:iCs/>
        </w:rPr>
        <w:t>Praveen s/o Krishnan v PP</w:t>
      </w:r>
      <w:r>
        <w:t xml:space="preserve"> [2017] SGHC 324 (“</w:t>
      </w:r>
      <w:r w:rsidRPr="001B78C2">
        <w:rPr>
          <w:i/>
          <w:iCs/>
        </w:rPr>
        <w:t>Praveen</w:t>
      </w:r>
      <w:r>
        <w:t xml:space="preserve">”) at [41] and </w:t>
      </w:r>
      <w:r w:rsidRPr="0040694B">
        <w:rPr>
          <w:i/>
          <w:iCs/>
        </w:rPr>
        <w:t xml:space="preserve">Terence </w:t>
      </w:r>
      <w:proofErr w:type="spellStart"/>
      <w:r w:rsidRPr="0040694B">
        <w:rPr>
          <w:i/>
          <w:iCs/>
        </w:rPr>
        <w:t>Siow</w:t>
      </w:r>
      <w:proofErr w:type="spellEnd"/>
      <w:r w:rsidR="0040694B">
        <w:rPr>
          <w:i/>
          <w:iCs/>
        </w:rPr>
        <w:t>, id</w:t>
      </w:r>
      <w:r w:rsidR="0040694B">
        <w:t>,</w:t>
      </w:r>
      <w:r>
        <w:t xml:space="preserve"> at [56(a)(iii)(C)].</w:t>
      </w:r>
    </w:p>
  </w:footnote>
  <w:footnote w:id="37">
    <w:p w14:paraId="07FE0887" w14:textId="718A2403" w:rsidR="00B13D28" w:rsidRPr="001B78C2" w:rsidRDefault="00B13D28" w:rsidP="00CA19CB">
      <w:pPr>
        <w:pStyle w:val="FootnoteText"/>
        <w:spacing w:line="240" w:lineRule="auto"/>
        <w:rPr>
          <w:lang w:val="en-US"/>
        </w:rPr>
      </w:pPr>
      <w:r>
        <w:rPr>
          <w:rStyle w:val="FootnoteReference"/>
        </w:rPr>
        <w:footnoteRef/>
      </w:r>
      <w:r>
        <w:t xml:space="preserve"> </w:t>
      </w:r>
      <w:r w:rsidR="007E2CAF" w:rsidRPr="007E2CAF">
        <w:rPr>
          <w:i/>
          <w:iCs/>
        </w:rPr>
        <w:t>Wong</w:t>
      </w:r>
      <w:r w:rsidR="007E2CAF" w:rsidRPr="007E2CAF">
        <w:t>,</w:t>
      </w:r>
      <w:r w:rsidR="007E2CAF">
        <w:rPr>
          <w:i/>
          <w:iCs/>
        </w:rPr>
        <w:t xml:space="preserve"> i</w:t>
      </w:r>
      <w:r w:rsidRPr="00C40A94">
        <w:rPr>
          <w:i/>
          <w:iCs/>
        </w:rPr>
        <w:t>d</w:t>
      </w:r>
      <w:r>
        <w:t xml:space="preserve">, </w:t>
      </w:r>
      <w:r>
        <w:rPr>
          <w:lang w:val="en-US"/>
        </w:rPr>
        <w:t>at [</w:t>
      </w:r>
      <w:r w:rsidR="007E2CAF">
        <w:rPr>
          <w:lang w:val="en-US"/>
        </w:rPr>
        <w:t>39</w:t>
      </w:r>
      <w:r>
        <w:rPr>
          <w:lang w:val="en-US"/>
        </w:rPr>
        <w:t>] and [</w:t>
      </w:r>
      <w:r w:rsidR="007E2CAF">
        <w:rPr>
          <w:lang w:val="en-US"/>
        </w:rPr>
        <w:t>40</w:t>
      </w:r>
      <w:r>
        <w:rPr>
          <w:lang w:val="en-US"/>
        </w:rPr>
        <w:t>].</w:t>
      </w:r>
    </w:p>
  </w:footnote>
  <w:footnote w:id="38">
    <w:p w14:paraId="39B72E76" w14:textId="108B268F" w:rsidR="001B78C2" w:rsidRPr="001B78C2" w:rsidRDefault="001B78C2" w:rsidP="00CA19CB">
      <w:pPr>
        <w:pStyle w:val="FootnoteText"/>
        <w:spacing w:line="240" w:lineRule="auto"/>
        <w:rPr>
          <w:lang w:val="en-US"/>
        </w:rPr>
      </w:pPr>
      <w:r>
        <w:rPr>
          <w:rStyle w:val="FootnoteReference"/>
        </w:rPr>
        <w:footnoteRef/>
      </w:r>
      <w:r>
        <w:t xml:space="preserve"> </w:t>
      </w:r>
      <w:r w:rsidRPr="001B78C2">
        <w:rPr>
          <w:i/>
          <w:iCs/>
        </w:rPr>
        <w:t>A Karthik v PP</w:t>
      </w:r>
      <w:r>
        <w:t xml:space="preserve"> [2018] SGHC 202 at [73]-[74].</w:t>
      </w:r>
    </w:p>
  </w:footnote>
  <w:footnote w:id="39">
    <w:p w14:paraId="59F9B8E5" w14:textId="2DC68232" w:rsidR="00E17EC8" w:rsidRDefault="00E17EC8" w:rsidP="00CA19CB">
      <w:pPr>
        <w:spacing w:line="240" w:lineRule="auto"/>
        <w:rPr>
          <w:sz w:val="20"/>
          <w:szCs w:val="20"/>
        </w:rPr>
      </w:pPr>
      <w:r>
        <w:rPr>
          <w:vertAlign w:val="superscript"/>
        </w:rPr>
        <w:footnoteRef/>
      </w:r>
      <w:r>
        <w:rPr>
          <w:sz w:val="20"/>
          <w:szCs w:val="20"/>
        </w:rPr>
        <w:t xml:space="preserve"> CPC, s 258</w:t>
      </w:r>
      <w:r w:rsidR="00851702">
        <w:rPr>
          <w:sz w:val="20"/>
          <w:szCs w:val="20"/>
        </w:rPr>
        <w:t>-</w:t>
      </w:r>
      <w:r>
        <w:rPr>
          <w:sz w:val="20"/>
          <w:szCs w:val="20"/>
        </w:rPr>
        <w:t>259.</w:t>
      </w:r>
    </w:p>
  </w:footnote>
  <w:footnote w:id="40">
    <w:p w14:paraId="5C371B9B" w14:textId="5445267F" w:rsidR="00E17EC8" w:rsidRDefault="00E17EC8" w:rsidP="00CA19CB">
      <w:pPr>
        <w:spacing w:line="240" w:lineRule="auto"/>
        <w:rPr>
          <w:sz w:val="20"/>
          <w:szCs w:val="20"/>
        </w:rPr>
      </w:pPr>
      <w:r>
        <w:rPr>
          <w:vertAlign w:val="superscript"/>
        </w:rPr>
        <w:footnoteRef/>
      </w:r>
      <w:r>
        <w:rPr>
          <w:sz w:val="20"/>
          <w:szCs w:val="20"/>
        </w:rPr>
        <w:t xml:space="preserve"> CPC s 258(1); </w:t>
      </w:r>
      <w:proofErr w:type="spellStart"/>
      <w:r w:rsidR="0084724D" w:rsidRPr="004813C2">
        <w:rPr>
          <w:i/>
          <w:iCs/>
          <w:sz w:val="20"/>
          <w:szCs w:val="20"/>
        </w:rPr>
        <w:t>Sulaiman</w:t>
      </w:r>
      <w:proofErr w:type="spellEnd"/>
      <w:r w:rsidR="0084724D" w:rsidRPr="004813C2">
        <w:rPr>
          <w:i/>
          <w:iCs/>
          <w:sz w:val="20"/>
          <w:szCs w:val="20"/>
        </w:rPr>
        <w:t xml:space="preserve"> bin </w:t>
      </w:r>
      <w:proofErr w:type="spellStart"/>
      <w:r w:rsidR="0084724D" w:rsidRPr="004813C2">
        <w:rPr>
          <w:i/>
          <w:iCs/>
          <w:sz w:val="20"/>
          <w:szCs w:val="20"/>
        </w:rPr>
        <w:t>Jumari</w:t>
      </w:r>
      <w:proofErr w:type="spellEnd"/>
      <w:r w:rsidR="0084724D" w:rsidRPr="004813C2">
        <w:rPr>
          <w:i/>
          <w:iCs/>
          <w:sz w:val="20"/>
          <w:szCs w:val="20"/>
        </w:rPr>
        <w:t xml:space="preserve"> v PP</w:t>
      </w:r>
      <w:r w:rsidR="0084724D">
        <w:rPr>
          <w:sz w:val="20"/>
          <w:szCs w:val="20"/>
        </w:rPr>
        <w:t xml:space="preserve"> [2020] SGCA 116 (“</w:t>
      </w:r>
      <w:proofErr w:type="spellStart"/>
      <w:r w:rsidR="0084724D" w:rsidRPr="004813C2">
        <w:rPr>
          <w:i/>
          <w:iCs/>
          <w:sz w:val="20"/>
          <w:szCs w:val="20"/>
        </w:rPr>
        <w:t>Sulaiman</w:t>
      </w:r>
      <w:proofErr w:type="spellEnd"/>
      <w:r w:rsidR="0084724D">
        <w:rPr>
          <w:sz w:val="20"/>
          <w:szCs w:val="20"/>
        </w:rPr>
        <w:t>”)</w:t>
      </w:r>
      <w:r w:rsidR="00D37A57">
        <w:rPr>
          <w:sz w:val="20"/>
          <w:szCs w:val="20"/>
        </w:rPr>
        <w:t>,</w:t>
      </w:r>
      <w:r w:rsidR="0084724D">
        <w:rPr>
          <w:sz w:val="20"/>
          <w:szCs w:val="20"/>
        </w:rPr>
        <w:t xml:space="preserve"> at [36]; </w:t>
      </w:r>
      <w:r>
        <w:rPr>
          <w:sz w:val="20"/>
          <w:szCs w:val="20"/>
        </w:rPr>
        <w:t xml:space="preserve">Leo and Chen, </w:t>
      </w:r>
      <w:r w:rsidRPr="004813C2">
        <w:rPr>
          <w:i/>
          <w:iCs/>
          <w:sz w:val="20"/>
          <w:szCs w:val="20"/>
        </w:rPr>
        <w:t>supra</w:t>
      </w:r>
      <w:r>
        <w:rPr>
          <w:sz w:val="20"/>
          <w:szCs w:val="20"/>
        </w:rPr>
        <w:t xml:space="preserve"> n </w:t>
      </w:r>
      <w:r w:rsidR="00941F11">
        <w:rPr>
          <w:sz w:val="20"/>
          <w:szCs w:val="20"/>
        </w:rPr>
        <w:t>9</w:t>
      </w:r>
      <w:r>
        <w:rPr>
          <w:sz w:val="20"/>
          <w:szCs w:val="20"/>
        </w:rPr>
        <w:t>, at p 521.</w:t>
      </w:r>
    </w:p>
  </w:footnote>
  <w:footnote w:id="41">
    <w:p w14:paraId="0F72824C" w14:textId="293B8539" w:rsidR="00E17EC8" w:rsidRDefault="00E17EC8" w:rsidP="00810903">
      <w:pPr>
        <w:spacing w:line="240" w:lineRule="auto"/>
        <w:rPr>
          <w:sz w:val="20"/>
          <w:szCs w:val="20"/>
        </w:rPr>
      </w:pPr>
      <w:r>
        <w:rPr>
          <w:vertAlign w:val="superscript"/>
        </w:rPr>
        <w:footnoteRef/>
      </w:r>
      <w:r>
        <w:rPr>
          <w:sz w:val="20"/>
          <w:szCs w:val="20"/>
        </w:rPr>
        <w:t xml:space="preserve"> Leo and Chen, </w:t>
      </w:r>
      <w:r w:rsidR="0083266F">
        <w:rPr>
          <w:i/>
          <w:iCs/>
          <w:sz w:val="20"/>
          <w:szCs w:val="20"/>
        </w:rPr>
        <w:t>id</w:t>
      </w:r>
      <w:r>
        <w:rPr>
          <w:sz w:val="20"/>
          <w:szCs w:val="20"/>
        </w:rPr>
        <w:t>, at p 522-541.</w:t>
      </w:r>
    </w:p>
  </w:footnote>
  <w:footnote w:id="42">
    <w:p w14:paraId="7F66A4AB" w14:textId="77F8926B" w:rsidR="00B4712B" w:rsidRPr="00B4712B" w:rsidRDefault="00B4712B" w:rsidP="00CA19CB">
      <w:pPr>
        <w:pStyle w:val="FootnoteText"/>
        <w:spacing w:line="240" w:lineRule="auto"/>
        <w:rPr>
          <w:lang w:val="en-US"/>
        </w:rPr>
      </w:pPr>
      <w:r>
        <w:rPr>
          <w:rStyle w:val="FootnoteReference"/>
        </w:rPr>
        <w:footnoteRef/>
      </w:r>
      <w:r>
        <w:t xml:space="preserve"> </w:t>
      </w:r>
      <w:r w:rsidR="00EC1367">
        <w:rPr>
          <w:i/>
          <w:iCs/>
        </w:rPr>
        <w:t>PP</w:t>
      </w:r>
      <w:r w:rsidRPr="001071F5">
        <w:rPr>
          <w:i/>
          <w:iCs/>
        </w:rPr>
        <w:t xml:space="preserve"> v Muhammad Abdul </w:t>
      </w:r>
      <w:proofErr w:type="spellStart"/>
      <w:r w:rsidRPr="001071F5">
        <w:rPr>
          <w:i/>
          <w:iCs/>
        </w:rPr>
        <w:t>Hadi</w:t>
      </w:r>
      <w:proofErr w:type="spellEnd"/>
      <w:r w:rsidRPr="001071F5">
        <w:rPr>
          <w:i/>
          <w:iCs/>
        </w:rPr>
        <w:t xml:space="preserve"> bin </w:t>
      </w:r>
      <w:proofErr w:type="spellStart"/>
      <w:r w:rsidRPr="001071F5">
        <w:rPr>
          <w:i/>
          <w:iCs/>
        </w:rPr>
        <w:t>Haron</w:t>
      </w:r>
      <w:proofErr w:type="spellEnd"/>
      <w:r w:rsidRPr="001071F5">
        <w:rPr>
          <w:i/>
          <w:iCs/>
        </w:rPr>
        <w:t xml:space="preserve"> and another</w:t>
      </w:r>
      <w:r>
        <w:t xml:space="preserve"> [2020] 5 SLR 710 (“</w:t>
      </w:r>
      <w:r w:rsidRPr="00B4712B">
        <w:rPr>
          <w:i/>
          <w:iCs/>
        </w:rPr>
        <w:t xml:space="preserve">Abdul </w:t>
      </w:r>
      <w:proofErr w:type="spellStart"/>
      <w:r w:rsidRPr="00B4712B">
        <w:rPr>
          <w:i/>
          <w:iCs/>
        </w:rPr>
        <w:t>Hadi</w:t>
      </w:r>
      <w:proofErr w:type="spellEnd"/>
      <w:r>
        <w:t>”)</w:t>
      </w:r>
      <w:r>
        <w:rPr>
          <w:lang w:val="en-US"/>
        </w:rPr>
        <w:t>, at [8].</w:t>
      </w:r>
    </w:p>
  </w:footnote>
  <w:footnote w:id="43">
    <w:p w14:paraId="4797F420" w14:textId="35F4BDAB" w:rsidR="00CC5C89" w:rsidRPr="00CC5C89" w:rsidRDefault="00CC5C89" w:rsidP="00CA19CB">
      <w:pPr>
        <w:pStyle w:val="FootnoteText"/>
        <w:spacing w:line="240" w:lineRule="auto"/>
        <w:rPr>
          <w:lang w:val="en-US"/>
        </w:rPr>
      </w:pPr>
      <w:r>
        <w:rPr>
          <w:rStyle w:val="FootnoteReference"/>
        </w:rPr>
        <w:footnoteRef/>
      </w:r>
      <w:r>
        <w:t xml:space="preserve"> </w:t>
      </w:r>
      <w:proofErr w:type="spellStart"/>
      <w:r w:rsidRPr="00CC5C89">
        <w:rPr>
          <w:i/>
          <w:iCs/>
        </w:rPr>
        <w:t>Sulaiman</w:t>
      </w:r>
      <w:proofErr w:type="spellEnd"/>
      <w:r>
        <w:t xml:space="preserve">, </w:t>
      </w:r>
      <w:r w:rsidRPr="00CC5C89">
        <w:rPr>
          <w:i/>
          <w:iCs/>
        </w:rPr>
        <w:t>supra</w:t>
      </w:r>
      <w:r>
        <w:t xml:space="preserve"> </w:t>
      </w:r>
      <w:r w:rsidR="0020525B">
        <w:t xml:space="preserve">n </w:t>
      </w:r>
      <w:r w:rsidR="00941F11">
        <w:rPr>
          <w:lang w:val="en-US"/>
        </w:rPr>
        <w:t>38</w:t>
      </w:r>
      <w:r>
        <w:rPr>
          <w:lang w:val="en-US"/>
        </w:rPr>
        <w:t>, at [39].</w:t>
      </w:r>
    </w:p>
  </w:footnote>
  <w:footnote w:id="44">
    <w:p w14:paraId="373A28A2" w14:textId="5A6AAF62" w:rsidR="00AA30F4" w:rsidRDefault="00AA30F4" w:rsidP="00CA19CB">
      <w:pPr>
        <w:spacing w:line="240" w:lineRule="auto"/>
        <w:rPr>
          <w:sz w:val="20"/>
          <w:szCs w:val="20"/>
        </w:rPr>
      </w:pPr>
      <w:r>
        <w:rPr>
          <w:vertAlign w:val="superscript"/>
        </w:rPr>
        <w:footnoteRef/>
      </w:r>
      <w:r>
        <w:rPr>
          <w:sz w:val="20"/>
          <w:szCs w:val="20"/>
        </w:rPr>
        <w:t xml:space="preserve"> </w:t>
      </w:r>
      <w:r w:rsidR="00E42908">
        <w:rPr>
          <w:i/>
          <w:iCs/>
          <w:sz w:val="20"/>
          <w:szCs w:val="20"/>
        </w:rPr>
        <w:t>Id</w:t>
      </w:r>
      <w:r w:rsidR="000C6589">
        <w:rPr>
          <w:sz w:val="20"/>
          <w:szCs w:val="20"/>
        </w:rPr>
        <w:t xml:space="preserve">, </w:t>
      </w:r>
      <w:r>
        <w:rPr>
          <w:sz w:val="20"/>
          <w:szCs w:val="20"/>
        </w:rPr>
        <w:t>at [37]-[38].</w:t>
      </w:r>
    </w:p>
  </w:footnote>
  <w:footnote w:id="45">
    <w:p w14:paraId="4D35A23F" w14:textId="77777777" w:rsidR="00AA30F4" w:rsidRDefault="00AA30F4" w:rsidP="00CA19CB">
      <w:pPr>
        <w:spacing w:line="240" w:lineRule="auto"/>
        <w:rPr>
          <w:sz w:val="20"/>
          <w:szCs w:val="20"/>
        </w:rPr>
      </w:pPr>
      <w:r>
        <w:rPr>
          <w:vertAlign w:val="superscript"/>
        </w:rPr>
        <w:footnoteRef/>
      </w:r>
      <w:r>
        <w:rPr>
          <w:sz w:val="20"/>
          <w:szCs w:val="20"/>
        </w:rPr>
        <w:t xml:space="preserve"> </w:t>
      </w:r>
      <w:r w:rsidRPr="004002F4">
        <w:rPr>
          <w:i/>
          <w:iCs/>
          <w:sz w:val="20"/>
          <w:szCs w:val="20"/>
        </w:rPr>
        <w:t xml:space="preserve">Chai </w:t>
      </w:r>
      <w:proofErr w:type="spellStart"/>
      <w:r w:rsidRPr="004002F4">
        <w:rPr>
          <w:i/>
          <w:iCs/>
          <w:sz w:val="20"/>
          <w:szCs w:val="20"/>
        </w:rPr>
        <w:t>Chien</w:t>
      </w:r>
      <w:proofErr w:type="spellEnd"/>
      <w:r w:rsidRPr="004002F4">
        <w:rPr>
          <w:i/>
          <w:iCs/>
          <w:sz w:val="20"/>
          <w:szCs w:val="20"/>
        </w:rPr>
        <w:t xml:space="preserve"> Wei Kelvin v PP</w:t>
      </w:r>
      <w:r w:rsidRPr="004002F4">
        <w:rPr>
          <w:sz w:val="20"/>
          <w:szCs w:val="20"/>
        </w:rPr>
        <w:t xml:space="preserve"> [1998] 3 SLR(R) 619 </w:t>
      </w:r>
      <w:r>
        <w:rPr>
          <w:sz w:val="20"/>
          <w:szCs w:val="20"/>
        </w:rPr>
        <w:t>(“</w:t>
      </w:r>
      <w:r w:rsidRPr="004002F4">
        <w:rPr>
          <w:i/>
          <w:iCs/>
          <w:sz w:val="20"/>
          <w:szCs w:val="20"/>
        </w:rPr>
        <w:t>Kelvin Chai</w:t>
      </w:r>
      <w:r>
        <w:rPr>
          <w:sz w:val="20"/>
          <w:szCs w:val="20"/>
        </w:rPr>
        <w:t>”) at [53].</w:t>
      </w:r>
    </w:p>
  </w:footnote>
  <w:footnote w:id="46">
    <w:p w14:paraId="1D9E2B19" w14:textId="77777777" w:rsidR="00AA30F4" w:rsidRDefault="00AA30F4" w:rsidP="00810903">
      <w:pPr>
        <w:spacing w:line="240" w:lineRule="auto"/>
        <w:rPr>
          <w:sz w:val="20"/>
          <w:szCs w:val="20"/>
        </w:rPr>
      </w:pPr>
      <w:r>
        <w:rPr>
          <w:vertAlign w:val="superscript"/>
        </w:rPr>
        <w:footnoteRef/>
      </w:r>
      <w:r>
        <w:rPr>
          <w:sz w:val="20"/>
          <w:szCs w:val="20"/>
        </w:rPr>
        <w:t xml:space="preserve"> </w:t>
      </w:r>
      <w:r>
        <w:rPr>
          <w:i/>
          <w:iCs/>
          <w:sz w:val="20"/>
          <w:szCs w:val="20"/>
        </w:rPr>
        <w:t xml:space="preserve">Id, </w:t>
      </w:r>
      <w:r>
        <w:rPr>
          <w:sz w:val="20"/>
          <w:szCs w:val="20"/>
        </w:rPr>
        <w:t>at [53].</w:t>
      </w:r>
    </w:p>
  </w:footnote>
  <w:footnote w:id="47">
    <w:p w14:paraId="57E81A40" w14:textId="091D2B95" w:rsidR="00AA30F4" w:rsidRDefault="00AA30F4" w:rsidP="00810903">
      <w:pPr>
        <w:spacing w:line="240" w:lineRule="auto"/>
        <w:rPr>
          <w:sz w:val="20"/>
          <w:szCs w:val="20"/>
        </w:rPr>
      </w:pPr>
      <w:r>
        <w:rPr>
          <w:vertAlign w:val="superscript"/>
        </w:rPr>
        <w:footnoteRef/>
      </w:r>
      <w:r>
        <w:rPr>
          <w:sz w:val="20"/>
          <w:szCs w:val="20"/>
        </w:rPr>
        <w:t xml:space="preserve"> </w:t>
      </w:r>
      <w:proofErr w:type="spellStart"/>
      <w:r w:rsidRPr="00DF7412">
        <w:rPr>
          <w:i/>
          <w:sz w:val="20"/>
        </w:rPr>
        <w:t>Sulaiman</w:t>
      </w:r>
      <w:proofErr w:type="spellEnd"/>
      <w:r>
        <w:rPr>
          <w:sz w:val="20"/>
          <w:szCs w:val="20"/>
        </w:rPr>
        <w:t xml:space="preserve">, </w:t>
      </w:r>
      <w:r w:rsidRPr="004002F4">
        <w:rPr>
          <w:i/>
          <w:iCs/>
          <w:sz w:val="20"/>
          <w:szCs w:val="20"/>
        </w:rPr>
        <w:t>supra</w:t>
      </w:r>
      <w:r>
        <w:rPr>
          <w:sz w:val="20"/>
          <w:szCs w:val="20"/>
        </w:rPr>
        <w:t xml:space="preserve"> n </w:t>
      </w:r>
      <w:r w:rsidR="00941F11">
        <w:rPr>
          <w:lang w:val="en-US"/>
        </w:rPr>
        <w:t>38</w:t>
      </w:r>
      <w:r>
        <w:rPr>
          <w:sz w:val="20"/>
          <w:szCs w:val="20"/>
        </w:rPr>
        <w:t>, at [39].</w:t>
      </w:r>
    </w:p>
  </w:footnote>
  <w:footnote w:id="48">
    <w:p w14:paraId="1C03AD37" w14:textId="77777777" w:rsidR="00BE7974" w:rsidRPr="007020F5" w:rsidRDefault="00BE7974" w:rsidP="00CA19CB">
      <w:pPr>
        <w:pStyle w:val="FootnoteText"/>
        <w:spacing w:line="240" w:lineRule="auto"/>
        <w:rPr>
          <w:lang w:val="en-US"/>
        </w:rPr>
      </w:pPr>
      <w:r>
        <w:rPr>
          <w:rStyle w:val="FootnoteReference"/>
        </w:rPr>
        <w:footnoteRef/>
      </w:r>
      <w:r>
        <w:t xml:space="preserve"> </w:t>
      </w:r>
      <w:proofErr w:type="spellStart"/>
      <w:r w:rsidRPr="00573EC3">
        <w:rPr>
          <w:i/>
          <w:iCs/>
        </w:rPr>
        <w:t>Tey</w:t>
      </w:r>
      <w:proofErr w:type="spellEnd"/>
      <w:r w:rsidRPr="00573EC3">
        <w:rPr>
          <w:i/>
          <w:iCs/>
        </w:rPr>
        <w:t xml:space="preserve"> </w:t>
      </w:r>
      <w:proofErr w:type="spellStart"/>
      <w:r w:rsidRPr="00573EC3">
        <w:rPr>
          <w:i/>
          <w:iCs/>
        </w:rPr>
        <w:t>Tsun</w:t>
      </w:r>
      <w:proofErr w:type="spellEnd"/>
      <w:r w:rsidRPr="00573EC3">
        <w:rPr>
          <w:i/>
          <w:iCs/>
        </w:rPr>
        <w:t xml:space="preserve"> Hang v PP</w:t>
      </w:r>
      <w:r>
        <w:t xml:space="preserve"> </w:t>
      </w:r>
      <w:r w:rsidRPr="00B01D38">
        <w:t>[2014] SGHC 39</w:t>
      </w:r>
      <w:r>
        <w:t xml:space="preserve"> (“</w:t>
      </w:r>
      <w:proofErr w:type="spellStart"/>
      <w:r w:rsidRPr="00573EC3">
        <w:rPr>
          <w:i/>
          <w:iCs/>
        </w:rPr>
        <w:t>Tey</w:t>
      </w:r>
      <w:proofErr w:type="spellEnd"/>
      <w:r>
        <w:t xml:space="preserve">”), at [86]-[91]. </w:t>
      </w:r>
      <w:r w:rsidRPr="004503F6">
        <w:t>Oppressive questioning exists when a person in authority acted in a manner such that his acts tend to sap and have in fact sapped the free will of the maker of the statement</w:t>
      </w:r>
      <w:r>
        <w:t xml:space="preserve">, and this may arise due to the nature, </w:t>
      </w:r>
      <w:proofErr w:type="gramStart"/>
      <w:r>
        <w:t>duration</w:t>
      </w:r>
      <w:proofErr w:type="gramEnd"/>
      <w:r>
        <w:t xml:space="preserve"> or other attendant circumstances of the questioning. </w:t>
      </w:r>
      <w:r>
        <w:rPr>
          <w:lang w:val="en-US"/>
        </w:rPr>
        <w:t xml:space="preserve">CPC, s 258, Explanation 1; </w:t>
      </w:r>
      <w:proofErr w:type="spellStart"/>
      <w:r w:rsidRPr="00573EC3">
        <w:rPr>
          <w:i/>
          <w:iCs/>
        </w:rPr>
        <w:t>Tey</w:t>
      </w:r>
      <w:proofErr w:type="spellEnd"/>
      <w:r>
        <w:t xml:space="preserve">, </w:t>
      </w:r>
      <w:r w:rsidRPr="00573EC3">
        <w:rPr>
          <w:i/>
          <w:iCs/>
        </w:rPr>
        <w:t>supra</w:t>
      </w:r>
      <w:r>
        <w:t xml:space="preserve"> n 45, at [90]-[91]</w:t>
      </w:r>
      <w:r>
        <w:rPr>
          <w:lang w:val="en-US"/>
        </w:rPr>
        <w:t>.</w:t>
      </w:r>
    </w:p>
  </w:footnote>
  <w:footnote w:id="49">
    <w:p w14:paraId="5418C55C" w14:textId="77777777" w:rsidR="00BE7974" w:rsidRPr="007020F5" w:rsidRDefault="00BE7974" w:rsidP="00CA19CB">
      <w:pPr>
        <w:pStyle w:val="FootnoteText"/>
        <w:spacing w:line="240" w:lineRule="auto"/>
        <w:rPr>
          <w:lang w:val="en-US"/>
        </w:rPr>
      </w:pPr>
      <w:r>
        <w:rPr>
          <w:rStyle w:val="FootnoteReference"/>
        </w:rPr>
        <w:footnoteRef/>
      </w:r>
      <w:r>
        <w:t xml:space="preserve"> For statements to be involuntariness </w:t>
      </w:r>
      <w:proofErr w:type="gramStart"/>
      <w:r>
        <w:t>due to the effects</w:t>
      </w:r>
      <w:proofErr w:type="gramEnd"/>
      <w:r>
        <w:t xml:space="preserve"> of a medical or psychological condition, a high threshold must be met. </w:t>
      </w:r>
      <w:proofErr w:type="spellStart"/>
      <w:r w:rsidRPr="007020F5">
        <w:rPr>
          <w:i/>
          <w:iCs/>
        </w:rPr>
        <w:t>Tey</w:t>
      </w:r>
      <w:proofErr w:type="spellEnd"/>
      <w:r>
        <w:t>, at [92] and [121].</w:t>
      </w:r>
    </w:p>
  </w:footnote>
  <w:footnote w:id="50">
    <w:p w14:paraId="7E43DD9E" w14:textId="739A4019" w:rsidR="00AA30F4" w:rsidRDefault="00AA30F4" w:rsidP="00CA19CB">
      <w:pPr>
        <w:spacing w:line="240" w:lineRule="auto"/>
        <w:rPr>
          <w:sz w:val="20"/>
          <w:szCs w:val="20"/>
        </w:rPr>
      </w:pPr>
      <w:r>
        <w:rPr>
          <w:vertAlign w:val="superscript"/>
        </w:rPr>
        <w:footnoteRef/>
      </w:r>
      <w:r>
        <w:rPr>
          <w:sz w:val="20"/>
          <w:szCs w:val="20"/>
        </w:rPr>
        <w:t xml:space="preserve"> </w:t>
      </w:r>
      <w:r w:rsidRPr="004002F4">
        <w:rPr>
          <w:i/>
          <w:iCs/>
          <w:sz w:val="20"/>
          <w:szCs w:val="20"/>
        </w:rPr>
        <w:t>Kelvin Chai</w:t>
      </w:r>
      <w:r>
        <w:rPr>
          <w:sz w:val="20"/>
          <w:szCs w:val="20"/>
        </w:rPr>
        <w:t xml:space="preserve">, </w:t>
      </w:r>
      <w:r w:rsidRPr="004002F4">
        <w:rPr>
          <w:i/>
          <w:iCs/>
          <w:sz w:val="20"/>
          <w:szCs w:val="20"/>
        </w:rPr>
        <w:t>supra</w:t>
      </w:r>
      <w:r>
        <w:rPr>
          <w:sz w:val="20"/>
          <w:szCs w:val="20"/>
        </w:rPr>
        <w:t xml:space="preserve"> n </w:t>
      </w:r>
      <w:r w:rsidR="00941F11">
        <w:rPr>
          <w:lang w:val="en-US"/>
        </w:rPr>
        <w:t>43</w:t>
      </w:r>
      <w:r>
        <w:rPr>
          <w:sz w:val="20"/>
          <w:szCs w:val="20"/>
        </w:rPr>
        <w:t>, at [53].</w:t>
      </w:r>
    </w:p>
  </w:footnote>
  <w:footnote w:id="51">
    <w:p w14:paraId="0C99E479" w14:textId="7F9A068C" w:rsidR="00AA30F4" w:rsidRDefault="00AA30F4" w:rsidP="00CA19CB">
      <w:pPr>
        <w:spacing w:line="240" w:lineRule="auto"/>
        <w:rPr>
          <w:sz w:val="20"/>
          <w:szCs w:val="20"/>
        </w:rPr>
      </w:pPr>
      <w:r>
        <w:rPr>
          <w:vertAlign w:val="superscript"/>
        </w:rPr>
        <w:footnoteRef/>
      </w:r>
      <w:r>
        <w:rPr>
          <w:sz w:val="20"/>
          <w:szCs w:val="20"/>
        </w:rPr>
        <w:t xml:space="preserve"> CPC s 258(3); </w:t>
      </w:r>
      <w:r w:rsidRPr="00CE7D98">
        <w:rPr>
          <w:i/>
          <w:iCs/>
          <w:sz w:val="20"/>
          <w:szCs w:val="20"/>
        </w:rPr>
        <w:t>Ansari</w:t>
      </w:r>
      <w:r>
        <w:rPr>
          <w:sz w:val="20"/>
          <w:szCs w:val="20"/>
        </w:rPr>
        <w:t xml:space="preserve">, </w:t>
      </w:r>
      <w:r w:rsidRPr="00CE7D98">
        <w:rPr>
          <w:i/>
          <w:iCs/>
          <w:sz w:val="20"/>
          <w:szCs w:val="20"/>
        </w:rPr>
        <w:t>supra</w:t>
      </w:r>
      <w:r>
        <w:rPr>
          <w:sz w:val="20"/>
          <w:szCs w:val="20"/>
        </w:rPr>
        <w:t xml:space="preserve"> n </w:t>
      </w:r>
      <w:r w:rsidR="00941F11">
        <w:rPr>
          <w:lang w:val="en-US"/>
        </w:rPr>
        <w:t>5</w:t>
      </w:r>
      <w:r w:rsidR="00D37A57" w:rsidRPr="00BB3B8F">
        <w:rPr>
          <w:lang w:val="en-US"/>
        </w:rPr>
        <w:t>,</w:t>
      </w:r>
      <w:r>
        <w:rPr>
          <w:sz w:val="20"/>
          <w:szCs w:val="20"/>
        </w:rPr>
        <w:t xml:space="preserve"> at [9].</w:t>
      </w:r>
    </w:p>
  </w:footnote>
  <w:footnote w:id="52">
    <w:p w14:paraId="49E91E5A" w14:textId="4C168425" w:rsidR="001F0766" w:rsidRDefault="001F0766" w:rsidP="00CA19CB">
      <w:pPr>
        <w:spacing w:line="240" w:lineRule="auto"/>
        <w:rPr>
          <w:sz w:val="20"/>
          <w:szCs w:val="20"/>
        </w:rPr>
      </w:pPr>
      <w:r>
        <w:rPr>
          <w:vertAlign w:val="superscript"/>
        </w:rPr>
        <w:footnoteRef/>
      </w:r>
      <w:r>
        <w:rPr>
          <w:sz w:val="20"/>
          <w:szCs w:val="20"/>
        </w:rPr>
        <w:t xml:space="preserve"> </w:t>
      </w:r>
      <w:r w:rsidR="0078305F">
        <w:rPr>
          <w:i/>
          <w:iCs/>
          <w:sz w:val="20"/>
          <w:szCs w:val="20"/>
        </w:rPr>
        <w:t>Ansari, i</w:t>
      </w:r>
      <w:r w:rsidR="00530305">
        <w:rPr>
          <w:i/>
          <w:iCs/>
          <w:sz w:val="20"/>
          <w:szCs w:val="20"/>
        </w:rPr>
        <w:t>d</w:t>
      </w:r>
      <w:r w:rsidR="00530305">
        <w:rPr>
          <w:sz w:val="20"/>
          <w:szCs w:val="20"/>
        </w:rPr>
        <w:t>, at [55]</w:t>
      </w:r>
      <w:r>
        <w:rPr>
          <w:sz w:val="20"/>
          <w:szCs w:val="20"/>
        </w:rPr>
        <w:t>.</w:t>
      </w:r>
    </w:p>
  </w:footnote>
  <w:footnote w:id="53">
    <w:p w14:paraId="2A1E10B7" w14:textId="29DD779D" w:rsidR="00D24238" w:rsidRPr="00603FD5" w:rsidRDefault="00D24238" w:rsidP="00CA19CB">
      <w:pPr>
        <w:pStyle w:val="FootnoteText"/>
        <w:spacing w:line="240" w:lineRule="auto"/>
      </w:pPr>
      <w:r>
        <w:rPr>
          <w:rStyle w:val="FootnoteReference"/>
        </w:rPr>
        <w:footnoteRef/>
      </w:r>
      <w:r w:rsidRPr="00BB3B8F">
        <w:t xml:space="preserve"> </w:t>
      </w:r>
      <w:r w:rsidR="00B4712B" w:rsidRPr="00B4712B">
        <w:rPr>
          <w:i/>
          <w:iCs/>
        </w:rPr>
        <w:t xml:space="preserve">Abdul </w:t>
      </w:r>
      <w:proofErr w:type="spellStart"/>
      <w:r w:rsidR="00B4712B" w:rsidRPr="00B4712B">
        <w:rPr>
          <w:i/>
          <w:iCs/>
        </w:rPr>
        <w:t>Hadi</w:t>
      </w:r>
      <w:proofErr w:type="spellEnd"/>
      <w:r>
        <w:rPr>
          <w:lang w:val="en-US"/>
        </w:rPr>
        <w:t xml:space="preserve">, </w:t>
      </w:r>
      <w:r w:rsidR="00B4712B" w:rsidRPr="00B4712B">
        <w:rPr>
          <w:i/>
          <w:iCs/>
          <w:lang w:val="en-US"/>
        </w:rPr>
        <w:t>supra</w:t>
      </w:r>
      <w:r w:rsidR="00B4712B">
        <w:rPr>
          <w:lang w:val="en-US"/>
        </w:rPr>
        <w:t xml:space="preserve"> n </w:t>
      </w:r>
      <w:r w:rsidR="00941F11">
        <w:rPr>
          <w:lang w:val="en-US"/>
        </w:rPr>
        <w:t>40</w:t>
      </w:r>
      <w:r w:rsidR="00B4712B">
        <w:rPr>
          <w:lang w:val="en-US"/>
        </w:rPr>
        <w:t xml:space="preserve">, </w:t>
      </w:r>
      <w:r>
        <w:rPr>
          <w:lang w:val="en-US"/>
        </w:rPr>
        <w:t>at [19].</w:t>
      </w:r>
    </w:p>
  </w:footnote>
  <w:footnote w:id="54">
    <w:p w14:paraId="6D2B49A3" w14:textId="304283C0" w:rsidR="00D34733" w:rsidRPr="00D34733" w:rsidRDefault="00D34733" w:rsidP="00CA19CB">
      <w:pPr>
        <w:pStyle w:val="FootnoteText"/>
        <w:spacing w:line="240" w:lineRule="auto"/>
        <w:rPr>
          <w:lang w:val="en-US"/>
        </w:rPr>
      </w:pPr>
      <w:r>
        <w:rPr>
          <w:rStyle w:val="FootnoteReference"/>
        </w:rPr>
        <w:footnoteRef/>
      </w:r>
      <w:r>
        <w:t xml:space="preserve"> </w:t>
      </w:r>
      <w:r w:rsidRPr="00B4712B">
        <w:rPr>
          <w:i/>
          <w:iCs/>
          <w:lang w:val="en-US"/>
        </w:rPr>
        <w:t>Ansari</w:t>
      </w:r>
      <w:r>
        <w:rPr>
          <w:lang w:val="en-US"/>
        </w:rPr>
        <w:t xml:space="preserve">, </w:t>
      </w:r>
      <w:r w:rsidRPr="00D34733">
        <w:rPr>
          <w:i/>
          <w:iCs/>
          <w:lang w:val="en-US"/>
        </w:rPr>
        <w:t>supra</w:t>
      </w:r>
      <w:r>
        <w:rPr>
          <w:lang w:val="en-US"/>
        </w:rPr>
        <w:t xml:space="preserve"> n </w:t>
      </w:r>
      <w:r w:rsidR="00941F11">
        <w:rPr>
          <w:lang w:val="en-US"/>
        </w:rPr>
        <w:t>5</w:t>
      </w:r>
      <w:r>
        <w:rPr>
          <w:lang w:val="en-US"/>
        </w:rPr>
        <w:t>, at [37]-[39].</w:t>
      </w:r>
    </w:p>
  </w:footnote>
  <w:footnote w:id="55">
    <w:p w14:paraId="71E55A79" w14:textId="188123B1" w:rsidR="008F5DD7" w:rsidRPr="008F5DD7" w:rsidRDefault="008F5DD7" w:rsidP="00CA19CB">
      <w:pPr>
        <w:pStyle w:val="FootnoteText"/>
        <w:spacing w:line="240" w:lineRule="auto"/>
        <w:rPr>
          <w:lang w:val="en-US"/>
        </w:rPr>
      </w:pPr>
      <w:r>
        <w:rPr>
          <w:rStyle w:val="FootnoteReference"/>
        </w:rPr>
        <w:footnoteRef/>
      </w:r>
      <w:r>
        <w:rPr>
          <w:lang w:val="en-US"/>
        </w:rPr>
        <w:t xml:space="preserve"> </w:t>
      </w:r>
      <w:r w:rsidRPr="008F5DD7">
        <w:rPr>
          <w:i/>
          <w:iCs/>
          <w:lang w:val="en-US"/>
        </w:rPr>
        <w:t>Ibid</w:t>
      </w:r>
      <w:r>
        <w:rPr>
          <w:lang w:val="en-US"/>
        </w:rPr>
        <w:t>.</w:t>
      </w:r>
    </w:p>
  </w:footnote>
  <w:footnote w:id="56">
    <w:p w14:paraId="204CC848" w14:textId="38921263" w:rsidR="00FA4CCB" w:rsidRPr="00FA4CCB" w:rsidRDefault="00FA4CCB" w:rsidP="00CA19CB">
      <w:pPr>
        <w:pStyle w:val="FootnoteText"/>
        <w:spacing w:line="240" w:lineRule="auto"/>
        <w:rPr>
          <w:lang w:val="en-US"/>
        </w:rPr>
      </w:pPr>
      <w:r>
        <w:rPr>
          <w:rStyle w:val="FootnoteReference"/>
        </w:rPr>
        <w:footnoteRef/>
      </w:r>
      <w:r>
        <w:t xml:space="preserve"> </w:t>
      </w:r>
      <w:r w:rsidR="00DD2460">
        <w:rPr>
          <w:i/>
          <w:iCs/>
        </w:rPr>
        <w:t>Id</w:t>
      </w:r>
      <w:r w:rsidR="008C2623">
        <w:t xml:space="preserve">, </w:t>
      </w:r>
      <w:r>
        <w:t>at [33]-[34].</w:t>
      </w:r>
    </w:p>
  </w:footnote>
  <w:footnote w:id="57">
    <w:p w14:paraId="32F56220" w14:textId="3A09E0C3" w:rsidR="00DD2460" w:rsidRPr="00DD2460" w:rsidRDefault="00DD2460" w:rsidP="00CA19CB">
      <w:pPr>
        <w:pStyle w:val="FootnoteText"/>
        <w:spacing w:line="240" w:lineRule="auto"/>
        <w:rPr>
          <w:lang w:val="en-US"/>
        </w:rPr>
      </w:pPr>
      <w:r>
        <w:rPr>
          <w:rStyle w:val="FootnoteReference"/>
        </w:rPr>
        <w:footnoteRef/>
      </w:r>
      <w:r>
        <w:t xml:space="preserve"> </w:t>
      </w:r>
      <w:r w:rsidRPr="00DD2460">
        <w:rPr>
          <w:i/>
          <w:iCs/>
          <w:lang w:val="en-US"/>
        </w:rPr>
        <w:t>I</w:t>
      </w:r>
      <w:r>
        <w:rPr>
          <w:i/>
          <w:iCs/>
          <w:lang w:val="en-US"/>
        </w:rPr>
        <w:t>d</w:t>
      </w:r>
      <w:r>
        <w:rPr>
          <w:lang w:val="en-US"/>
        </w:rPr>
        <w:t>, at [39].</w:t>
      </w:r>
    </w:p>
  </w:footnote>
  <w:footnote w:id="58">
    <w:p w14:paraId="26E7F56E" w14:textId="5C877C47" w:rsidR="00AA30F4" w:rsidRDefault="00AA30F4" w:rsidP="00CA19CB">
      <w:pPr>
        <w:spacing w:line="240" w:lineRule="auto"/>
        <w:rPr>
          <w:sz w:val="20"/>
          <w:szCs w:val="20"/>
        </w:rPr>
      </w:pPr>
      <w:r>
        <w:rPr>
          <w:vertAlign w:val="superscript"/>
        </w:rPr>
        <w:footnoteRef/>
      </w:r>
      <w:r>
        <w:rPr>
          <w:sz w:val="20"/>
          <w:szCs w:val="20"/>
        </w:rPr>
        <w:t xml:space="preserve"> </w:t>
      </w:r>
      <w:r w:rsidR="006B3A14">
        <w:rPr>
          <w:i/>
          <w:iCs/>
          <w:sz w:val="20"/>
          <w:szCs w:val="20"/>
        </w:rPr>
        <w:t>I</w:t>
      </w:r>
      <w:r w:rsidR="008C2623">
        <w:rPr>
          <w:i/>
          <w:iCs/>
          <w:sz w:val="20"/>
          <w:szCs w:val="20"/>
        </w:rPr>
        <w:t>d</w:t>
      </w:r>
      <w:r>
        <w:rPr>
          <w:sz w:val="20"/>
          <w:szCs w:val="20"/>
        </w:rPr>
        <w:t>, at [9].</w:t>
      </w:r>
    </w:p>
  </w:footnote>
  <w:footnote w:id="59">
    <w:p w14:paraId="51543381" w14:textId="5EC41EF4" w:rsidR="00686DE4" w:rsidRPr="002034FA" w:rsidRDefault="00686DE4" w:rsidP="00CA19CB">
      <w:pPr>
        <w:pStyle w:val="FootnoteText"/>
        <w:spacing w:line="240" w:lineRule="auto"/>
        <w:rPr>
          <w:lang w:val="en-US"/>
        </w:rPr>
      </w:pPr>
      <w:r>
        <w:rPr>
          <w:rStyle w:val="FootnoteReference"/>
        </w:rPr>
        <w:footnoteRef/>
      </w:r>
      <w:r>
        <w:t xml:space="preserve"> </w:t>
      </w:r>
      <w:r w:rsidRPr="002034FA">
        <w:rPr>
          <w:i/>
          <w:iCs/>
        </w:rPr>
        <w:t>Omar</w:t>
      </w:r>
      <w:r>
        <w:t xml:space="preserve">, </w:t>
      </w:r>
      <w:r w:rsidRPr="002402AD">
        <w:rPr>
          <w:i/>
          <w:iCs/>
        </w:rPr>
        <w:t>supra</w:t>
      </w:r>
      <w:r>
        <w:t xml:space="preserve"> n </w:t>
      </w:r>
      <w:r w:rsidR="00941F11">
        <w:t>11</w:t>
      </w:r>
      <w:r>
        <w:t xml:space="preserve">, </w:t>
      </w:r>
      <w:r>
        <w:rPr>
          <w:lang w:val="en-US"/>
        </w:rPr>
        <w:t>at [32].</w:t>
      </w:r>
    </w:p>
  </w:footnote>
  <w:footnote w:id="60">
    <w:p w14:paraId="3B9538B9" w14:textId="26BCA34E" w:rsidR="002034FA" w:rsidRPr="002034FA" w:rsidRDefault="002034FA" w:rsidP="00CA19CB">
      <w:pPr>
        <w:pStyle w:val="FootnoteText"/>
        <w:spacing w:line="240" w:lineRule="auto"/>
        <w:rPr>
          <w:lang w:val="en-US"/>
        </w:rPr>
      </w:pPr>
      <w:r>
        <w:rPr>
          <w:rStyle w:val="FootnoteReference"/>
        </w:rPr>
        <w:footnoteRef/>
      </w:r>
      <w:r>
        <w:t xml:space="preserve"> </w:t>
      </w:r>
      <w:r w:rsidR="0048311B">
        <w:rPr>
          <w:i/>
          <w:iCs/>
        </w:rPr>
        <w:t>Id</w:t>
      </w:r>
      <w:r w:rsidR="002402AD">
        <w:t xml:space="preserve">, </w:t>
      </w:r>
      <w:r>
        <w:rPr>
          <w:lang w:val="en-US"/>
        </w:rPr>
        <w:t>at [3</w:t>
      </w:r>
      <w:r w:rsidR="00D02070">
        <w:rPr>
          <w:lang w:val="en-US"/>
        </w:rPr>
        <w:t>3</w:t>
      </w:r>
      <w:r>
        <w:rPr>
          <w:lang w:val="en-US"/>
        </w:rPr>
        <w:t>]-[34] and [39].</w:t>
      </w:r>
    </w:p>
  </w:footnote>
  <w:footnote w:id="61">
    <w:p w14:paraId="0502B336" w14:textId="384DC3CB" w:rsidR="003E0FF3" w:rsidRDefault="003E0FF3" w:rsidP="00CA19CB">
      <w:pPr>
        <w:spacing w:line="240" w:lineRule="auto"/>
        <w:rPr>
          <w:sz w:val="20"/>
          <w:szCs w:val="20"/>
        </w:rPr>
      </w:pPr>
      <w:r>
        <w:rPr>
          <w:vertAlign w:val="superscript"/>
        </w:rPr>
        <w:footnoteRef/>
      </w:r>
      <w:r>
        <w:rPr>
          <w:sz w:val="20"/>
          <w:szCs w:val="20"/>
        </w:rPr>
        <w:t xml:space="preserve"> Leo and Chen, </w:t>
      </w:r>
      <w:r w:rsidRPr="006D064C">
        <w:rPr>
          <w:i/>
          <w:iCs/>
          <w:sz w:val="20"/>
          <w:szCs w:val="20"/>
        </w:rPr>
        <w:t>supra</w:t>
      </w:r>
      <w:r>
        <w:rPr>
          <w:sz w:val="20"/>
          <w:szCs w:val="20"/>
        </w:rPr>
        <w:t xml:space="preserve"> n </w:t>
      </w:r>
      <w:r w:rsidR="00941F11">
        <w:rPr>
          <w:sz w:val="20"/>
          <w:szCs w:val="20"/>
        </w:rPr>
        <w:t>9</w:t>
      </w:r>
      <w:r>
        <w:rPr>
          <w:sz w:val="20"/>
          <w:szCs w:val="20"/>
        </w:rPr>
        <w:t xml:space="preserve">, at p 529, citing </w:t>
      </w:r>
      <w:r w:rsidR="0075330A" w:rsidRPr="0075330A">
        <w:rPr>
          <w:i/>
          <w:iCs/>
          <w:sz w:val="20"/>
          <w:szCs w:val="20"/>
        </w:rPr>
        <w:t>Kadar</w:t>
      </w:r>
      <w:r w:rsidR="00BA31E5">
        <w:rPr>
          <w:sz w:val="20"/>
          <w:szCs w:val="20"/>
        </w:rPr>
        <w:t xml:space="preserve"> </w:t>
      </w:r>
      <w:r>
        <w:rPr>
          <w:sz w:val="20"/>
          <w:szCs w:val="20"/>
        </w:rPr>
        <w:t>at [55].</w:t>
      </w:r>
    </w:p>
  </w:footnote>
  <w:footnote w:id="62">
    <w:p w14:paraId="2E89F143" w14:textId="5A375527" w:rsidR="00E17EC8" w:rsidRDefault="00E17EC8" w:rsidP="00810903">
      <w:pPr>
        <w:spacing w:line="240" w:lineRule="auto"/>
        <w:rPr>
          <w:sz w:val="20"/>
          <w:szCs w:val="20"/>
        </w:rPr>
      </w:pPr>
      <w:r>
        <w:rPr>
          <w:vertAlign w:val="superscript"/>
        </w:rPr>
        <w:footnoteRef/>
      </w:r>
      <w:r>
        <w:rPr>
          <w:sz w:val="20"/>
          <w:szCs w:val="20"/>
        </w:rPr>
        <w:t xml:space="preserve"> </w:t>
      </w:r>
      <w:proofErr w:type="spellStart"/>
      <w:r w:rsidRPr="004813C2">
        <w:rPr>
          <w:i/>
          <w:iCs/>
          <w:sz w:val="20"/>
          <w:szCs w:val="20"/>
        </w:rPr>
        <w:t>Sulaiman</w:t>
      </w:r>
      <w:proofErr w:type="spellEnd"/>
      <w:r>
        <w:rPr>
          <w:sz w:val="20"/>
          <w:szCs w:val="20"/>
        </w:rPr>
        <w:t xml:space="preserve">, </w:t>
      </w:r>
      <w:r w:rsidR="00202DAC">
        <w:rPr>
          <w:i/>
          <w:iCs/>
          <w:sz w:val="20"/>
          <w:szCs w:val="20"/>
        </w:rPr>
        <w:t>supra</w:t>
      </w:r>
      <w:r w:rsidR="00202DAC" w:rsidRPr="00202DAC">
        <w:rPr>
          <w:sz w:val="20"/>
          <w:szCs w:val="20"/>
        </w:rPr>
        <w:t xml:space="preserve"> n </w:t>
      </w:r>
      <w:r w:rsidR="00941F11">
        <w:rPr>
          <w:sz w:val="20"/>
          <w:szCs w:val="20"/>
        </w:rPr>
        <w:t>38</w:t>
      </w:r>
      <w:r>
        <w:rPr>
          <w:sz w:val="20"/>
          <w:szCs w:val="20"/>
        </w:rPr>
        <w:t>, at [44] et seq.</w:t>
      </w:r>
      <w:r w:rsidR="006A0FAD">
        <w:rPr>
          <w:sz w:val="20"/>
          <w:szCs w:val="20"/>
        </w:rPr>
        <w:t xml:space="preserve"> </w:t>
      </w:r>
      <w:r w:rsidR="006A0FAD" w:rsidRPr="006A0FAD">
        <w:rPr>
          <w:sz w:val="20"/>
          <w:szCs w:val="20"/>
        </w:rPr>
        <w:t>This implies that procedural non-compliance does not typically, by itself, render a statement inadmissible. On a related note, the Court of Appeal has stated that it is not prudent or possible to set down a definitive set of principles for how courts should exercise its discretion since the scenarios are innumerable.</w:t>
      </w:r>
      <w:r w:rsidR="006A0FAD" w:rsidRPr="006A0FAD">
        <w:rPr>
          <w:i/>
          <w:iCs/>
          <w:sz w:val="20"/>
          <w:szCs w:val="20"/>
        </w:rPr>
        <w:t xml:space="preserve"> </w:t>
      </w:r>
      <w:proofErr w:type="spellStart"/>
      <w:r w:rsidR="006A0FAD" w:rsidRPr="006D064C">
        <w:rPr>
          <w:i/>
          <w:iCs/>
          <w:sz w:val="20"/>
          <w:szCs w:val="20"/>
        </w:rPr>
        <w:t>Sulaiman</w:t>
      </w:r>
      <w:proofErr w:type="spellEnd"/>
      <w:r w:rsidR="006A0FAD">
        <w:rPr>
          <w:sz w:val="20"/>
          <w:szCs w:val="20"/>
        </w:rPr>
        <w:t xml:space="preserve">, </w:t>
      </w:r>
      <w:r w:rsidR="006A0FAD" w:rsidRPr="006D064C">
        <w:rPr>
          <w:i/>
          <w:iCs/>
          <w:sz w:val="20"/>
          <w:szCs w:val="20"/>
        </w:rPr>
        <w:t>supra</w:t>
      </w:r>
      <w:r w:rsidR="006A0FAD">
        <w:rPr>
          <w:sz w:val="20"/>
          <w:szCs w:val="20"/>
        </w:rPr>
        <w:t xml:space="preserve"> n </w:t>
      </w:r>
      <w:r w:rsidR="00941F11">
        <w:rPr>
          <w:sz w:val="20"/>
          <w:szCs w:val="20"/>
        </w:rPr>
        <w:t>38</w:t>
      </w:r>
      <w:r w:rsidR="006A0FAD">
        <w:rPr>
          <w:sz w:val="20"/>
          <w:szCs w:val="20"/>
        </w:rPr>
        <w:t>, at [48].</w:t>
      </w:r>
    </w:p>
  </w:footnote>
  <w:footnote w:id="63">
    <w:p w14:paraId="7383D687" w14:textId="76CD0B4A" w:rsidR="00BE7974" w:rsidRDefault="00BE7974" w:rsidP="00810903">
      <w:pPr>
        <w:spacing w:line="240" w:lineRule="auto"/>
        <w:rPr>
          <w:sz w:val="20"/>
          <w:szCs w:val="20"/>
        </w:rPr>
      </w:pPr>
      <w:r>
        <w:rPr>
          <w:vertAlign w:val="superscript"/>
        </w:rPr>
        <w:footnoteRef/>
      </w:r>
      <w:r>
        <w:rPr>
          <w:sz w:val="20"/>
          <w:szCs w:val="20"/>
        </w:rPr>
        <w:t xml:space="preserve"> </w:t>
      </w:r>
      <w:r>
        <w:rPr>
          <w:i/>
          <w:iCs/>
          <w:sz w:val="20"/>
          <w:szCs w:val="20"/>
        </w:rPr>
        <w:t>Kadar</w:t>
      </w:r>
      <w:r>
        <w:rPr>
          <w:sz w:val="20"/>
          <w:szCs w:val="20"/>
        </w:rPr>
        <w:t xml:space="preserve">, </w:t>
      </w:r>
      <w:r w:rsidR="00941F11" w:rsidRPr="00FC7BDC">
        <w:rPr>
          <w:i/>
          <w:iCs/>
          <w:sz w:val="20"/>
          <w:szCs w:val="20"/>
        </w:rPr>
        <w:t>supra</w:t>
      </w:r>
      <w:r w:rsidR="00941F11">
        <w:rPr>
          <w:sz w:val="20"/>
          <w:szCs w:val="20"/>
        </w:rPr>
        <w:t xml:space="preserve"> n 1, </w:t>
      </w:r>
      <w:r>
        <w:rPr>
          <w:sz w:val="20"/>
          <w:szCs w:val="20"/>
        </w:rPr>
        <w:t>at [160]-[163].</w:t>
      </w:r>
    </w:p>
  </w:footnote>
  <w:footnote w:id="64">
    <w:p w14:paraId="23C9FA4C" w14:textId="77777777" w:rsidR="00BE7974" w:rsidRDefault="00BE7974" w:rsidP="00810903">
      <w:pPr>
        <w:spacing w:line="240" w:lineRule="auto"/>
        <w:rPr>
          <w:sz w:val="20"/>
          <w:szCs w:val="20"/>
        </w:rPr>
      </w:pPr>
      <w:r>
        <w:rPr>
          <w:vertAlign w:val="superscript"/>
        </w:rPr>
        <w:footnoteRef/>
      </w:r>
      <w:r>
        <w:rPr>
          <w:sz w:val="20"/>
          <w:szCs w:val="20"/>
        </w:rPr>
        <w:t xml:space="preserve"> </w:t>
      </w:r>
      <w:r>
        <w:rPr>
          <w:i/>
          <w:iCs/>
          <w:sz w:val="20"/>
          <w:szCs w:val="20"/>
        </w:rPr>
        <w:t>Ibid</w:t>
      </w:r>
      <w:r>
        <w:rPr>
          <w:sz w:val="20"/>
          <w:szCs w:val="20"/>
        </w:rPr>
        <w:t>.</w:t>
      </w:r>
    </w:p>
  </w:footnote>
  <w:footnote w:id="65">
    <w:p w14:paraId="1693F5D3" w14:textId="77777777" w:rsidR="00BE7974" w:rsidRDefault="00BE7974" w:rsidP="00810903">
      <w:pPr>
        <w:spacing w:line="240" w:lineRule="auto"/>
        <w:rPr>
          <w:sz w:val="20"/>
          <w:szCs w:val="20"/>
        </w:rPr>
      </w:pPr>
      <w:r>
        <w:rPr>
          <w:vertAlign w:val="superscript"/>
        </w:rPr>
        <w:footnoteRef/>
      </w:r>
      <w:r>
        <w:rPr>
          <w:sz w:val="20"/>
          <w:szCs w:val="20"/>
        </w:rPr>
        <w:t xml:space="preserve"> </w:t>
      </w:r>
      <w:r>
        <w:rPr>
          <w:i/>
          <w:iCs/>
          <w:sz w:val="20"/>
          <w:szCs w:val="20"/>
        </w:rPr>
        <w:t>Ibid</w:t>
      </w:r>
      <w:r>
        <w:rPr>
          <w:sz w:val="20"/>
          <w:szCs w:val="20"/>
        </w:rPr>
        <w:t>.</w:t>
      </w:r>
    </w:p>
  </w:footnote>
  <w:footnote w:id="66">
    <w:p w14:paraId="454A6CAE" w14:textId="77777777" w:rsidR="00BE7974" w:rsidRPr="00940103" w:rsidRDefault="00BE7974" w:rsidP="00CA19CB">
      <w:pPr>
        <w:pStyle w:val="FootnoteText"/>
        <w:spacing w:line="240" w:lineRule="auto"/>
        <w:rPr>
          <w:lang w:val="en-US"/>
        </w:rPr>
      </w:pPr>
      <w:r>
        <w:rPr>
          <w:rStyle w:val="FootnoteReference"/>
        </w:rPr>
        <w:footnoteRef/>
      </w:r>
      <w:r>
        <w:t xml:space="preserve"> </w:t>
      </w:r>
      <w:r w:rsidRPr="00940103">
        <w:rPr>
          <w:i/>
          <w:iCs/>
          <w:lang w:val="en-US"/>
        </w:rPr>
        <w:t>Id</w:t>
      </w:r>
      <w:r>
        <w:rPr>
          <w:lang w:val="en-US"/>
        </w:rPr>
        <w:t>, at [185].</w:t>
      </w:r>
    </w:p>
  </w:footnote>
  <w:footnote w:id="67">
    <w:p w14:paraId="7870F6A9" w14:textId="536E7A3E" w:rsidR="001164CC" w:rsidRPr="001164CC" w:rsidRDefault="001164CC" w:rsidP="00CA19CB">
      <w:pPr>
        <w:pStyle w:val="FootnoteText"/>
        <w:spacing w:line="240" w:lineRule="auto"/>
        <w:rPr>
          <w:lang w:val="en-US"/>
        </w:rPr>
      </w:pPr>
      <w:r>
        <w:rPr>
          <w:rStyle w:val="FootnoteReference"/>
        </w:rPr>
        <w:footnoteRef/>
      </w:r>
      <w:r>
        <w:t xml:space="preserve"> </w:t>
      </w:r>
      <w:r w:rsidRPr="001164CC">
        <w:rPr>
          <w:i/>
          <w:iCs/>
        </w:rPr>
        <w:t xml:space="preserve">Abdul </w:t>
      </w:r>
      <w:proofErr w:type="spellStart"/>
      <w:r w:rsidRPr="001164CC">
        <w:rPr>
          <w:i/>
          <w:iCs/>
        </w:rPr>
        <w:t>Hadi</w:t>
      </w:r>
      <w:proofErr w:type="spellEnd"/>
      <w:r>
        <w:t xml:space="preserve">, </w:t>
      </w:r>
      <w:r w:rsidRPr="000C28FD">
        <w:rPr>
          <w:i/>
          <w:iCs/>
        </w:rPr>
        <w:t>supra</w:t>
      </w:r>
      <w:r>
        <w:t xml:space="preserve"> n </w:t>
      </w:r>
      <w:r w:rsidR="00770823">
        <w:t>40</w:t>
      </w:r>
      <w:r>
        <w:t>, at [8].</w:t>
      </w:r>
    </w:p>
  </w:footnote>
  <w:footnote w:id="68">
    <w:p w14:paraId="601F402E" w14:textId="530002F3" w:rsidR="004F49BB" w:rsidRPr="004F49BB" w:rsidRDefault="004F49BB" w:rsidP="00CA19CB">
      <w:pPr>
        <w:pStyle w:val="FootnoteText"/>
        <w:spacing w:line="240" w:lineRule="auto"/>
      </w:pPr>
      <w:r>
        <w:rPr>
          <w:rStyle w:val="FootnoteReference"/>
        </w:rPr>
        <w:footnoteRef/>
      </w:r>
      <w:r>
        <w:t xml:space="preserve"> This is </w:t>
      </w:r>
      <w:r w:rsidRPr="006508E5">
        <w:t>also known as “</w:t>
      </w:r>
      <w:proofErr w:type="spellStart"/>
      <w:r w:rsidRPr="00F4388E">
        <w:rPr>
          <w:i/>
          <w:iCs/>
        </w:rPr>
        <w:t>voir</w:t>
      </w:r>
      <w:proofErr w:type="spellEnd"/>
      <w:r w:rsidRPr="00F4388E">
        <w:rPr>
          <w:i/>
          <w:iCs/>
        </w:rPr>
        <w:t xml:space="preserve"> dire</w:t>
      </w:r>
      <w:r w:rsidRPr="006508E5">
        <w:t>”, “trial within a trial”, or “ancillary proceedings”</w:t>
      </w:r>
      <w:r>
        <w:t xml:space="preserve">. </w:t>
      </w:r>
      <w:r w:rsidRPr="00043A7A">
        <w:rPr>
          <w:i/>
          <w:iCs/>
          <w:lang w:val="en-US"/>
        </w:rPr>
        <w:t>Kadar</w:t>
      </w:r>
      <w:r>
        <w:rPr>
          <w:lang w:val="en-US"/>
        </w:rPr>
        <w:t xml:space="preserve">, </w:t>
      </w:r>
      <w:r w:rsidRPr="00340877">
        <w:rPr>
          <w:i/>
          <w:iCs/>
          <w:lang w:val="en-US"/>
        </w:rPr>
        <w:t>supra</w:t>
      </w:r>
      <w:r>
        <w:rPr>
          <w:lang w:val="en-US"/>
        </w:rPr>
        <w:t xml:space="preserve"> n </w:t>
      </w:r>
      <w:r w:rsidR="000C28FD">
        <w:rPr>
          <w:lang w:val="en-US"/>
        </w:rPr>
        <w:t>1</w:t>
      </w:r>
      <w:r>
        <w:rPr>
          <w:lang w:val="en-US"/>
        </w:rPr>
        <w:t>, at [57].</w:t>
      </w:r>
    </w:p>
  </w:footnote>
  <w:footnote w:id="69">
    <w:p w14:paraId="4D592F33" w14:textId="7B545B5E" w:rsidR="00836C8C" w:rsidRDefault="00836C8C" w:rsidP="00CA19CB">
      <w:pPr>
        <w:spacing w:line="240" w:lineRule="auto"/>
        <w:rPr>
          <w:sz w:val="20"/>
          <w:szCs w:val="20"/>
        </w:rPr>
      </w:pPr>
      <w:r>
        <w:rPr>
          <w:vertAlign w:val="superscript"/>
        </w:rPr>
        <w:footnoteRef/>
      </w:r>
      <w:r w:rsidR="0064228C">
        <w:rPr>
          <w:sz w:val="20"/>
          <w:szCs w:val="20"/>
        </w:rPr>
        <w:t xml:space="preserve"> </w:t>
      </w:r>
      <w:r>
        <w:rPr>
          <w:sz w:val="20"/>
          <w:szCs w:val="20"/>
        </w:rPr>
        <w:t>CPC</w:t>
      </w:r>
      <w:r w:rsidR="0064228C">
        <w:rPr>
          <w:sz w:val="20"/>
          <w:szCs w:val="20"/>
        </w:rPr>
        <w:t xml:space="preserve"> </w:t>
      </w:r>
      <w:r>
        <w:rPr>
          <w:sz w:val="20"/>
          <w:szCs w:val="20"/>
        </w:rPr>
        <w:t>s</w:t>
      </w:r>
      <w:r w:rsidR="0064228C">
        <w:rPr>
          <w:sz w:val="20"/>
          <w:szCs w:val="20"/>
        </w:rPr>
        <w:t xml:space="preserve"> </w:t>
      </w:r>
      <w:r>
        <w:rPr>
          <w:sz w:val="20"/>
          <w:szCs w:val="20"/>
        </w:rPr>
        <w:t>279;</w:t>
      </w:r>
      <w:r w:rsidR="0064228C">
        <w:rPr>
          <w:sz w:val="20"/>
          <w:szCs w:val="20"/>
        </w:rPr>
        <w:t xml:space="preserve"> </w:t>
      </w:r>
      <w:r w:rsidRPr="00CE7D98">
        <w:rPr>
          <w:i/>
          <w:iCs/>
          <w:sz w:val="20"/>
          <w:szCs w:val="20"/>
        </w:rPr>
        <w:t>Teo</w:t>
      </w:r>
      <w:r w:rsidR="0064228C">
        <w:rPr>
          <w:i/>
          <w:iCs/>
          <w:sz w:val="20"/>
          <w:szCs w:val="20"/>
        </w:rPr>
        <w:t xml:space="preserve"> </w:t>
      </w:r>
      <w:proofErr w:type="spellStart"/>
      <w:r w:rsidRPr="00CE7D98">
        <w:rPr>
          <w:i/>
          <w:iCs/>
          <w:sz w:val="20"/>
          <w:szCs w:val="20"/>
        </w:rPr>
        <w:t>Yeow</w:t>
      </w:r>
      <w:proofErr w:type="spellEnd"/>
      <w:r w:rsidR="0064228C">
        <w:rPr>
          <w:i/>
          <w:iCs/>
          <w:sz w:val="20"/>
          <w:szCs w:val="20"/>
        </w:rPr>
        <w:t xml:space="preserve"> </w:t>
      </w:r>
      <w:proofErr w:type="spellStart"/>
      <w:r w:rsidRPr="00CE7D98">
        <w:rPr>
          <w:i/>
          <w:iCs/>
          <w:sz w:val="20"/>
          <w:szCs w:val="20"/>
        </w:rPr>
        <w:t>Chuah</w:t>
      </w:r>
      <w:proofErr w:type="spellEnd"/>
      <w:r>
        <w:rPr>
          <w:sz w:val="20"/>
          <w:szCs w:val="20"/>
        </w:rPr>
        <w:t xml:space="preserve"> </w:t>
      </w:r>
      <w:r w:rsidRPr="00CE7D98">
        <w:rPr>
          <w:i/>
          <w:iCs/>
          <w:sz w:val="20"/>
          <w:szCs w:val="20"/>
        </w:rPr>
        <w:t>v PP</w:t>
      </w:r>
      <w:r>
        <w:rPr>
          <w:sz w:val="20"/>
          <w:szCs w:val="20"/>
        </w:rPr>
        <w:t xml:space="preserve"> [2004] SGCA 17</w:t>
      </w:r>
      <w:r w:rsidR="00ED116C">
        <w:rPr>
          <w:sz w:val="20"/>
          <w:szCs w:val="20"/>
        </w:rPr>
        <w:t>,</w:t>
      </w:r>
      <w:r>
        <w:rPr>
          <w:sz w:val="20"/>
          <w:szCs w:val="20"/>
        </w:rPr>
        <w:t xml:space="preserve"> at [18]-[20]; </w:t>
      </w:r>
      <w:r w:rsidRPr="00CE7D98">
        <w:rPr>
          <w:i/>
          <w:iCs/>
          <w:sz w:val="20"/>
          <w:szCs w:val="20"/>
        </w:rPr>
        <w:t xml:space="preserve">Sagar s/o </w:t>
      </w:r>
      <w:proofErr w:type="spellStart"/>
      <w:r w:rsidRPr="00CE7D98">
        <w:rPr>
          <w:i/>
          <w:iCs/>
          <w:sz w:val="20"/>
          <w:szCs w:val="20"/>
        </w:rPr>
        <w:t>Suppiah</w:t>
      </w:r>
      <w:proofErr w:type="spellEnd"/>
      <w:r w:rsidRPr="00CE7D98">
        <w:rPr>
          <w:i/>
          <w:iCs/>
          <w:sz w:val="20"/>
          <w:szCs w:val="20"/>
        </w:rPr>
        <w:t xml:space="preserve"> </w:t>
      </w:r>
      <w:proofErr w:type="spellStart"/>
      <w:r w:rsidRPr="00CE7D98">
        <w:rPr>
          <w:i/>
          <w:iCs/>
          <w:sz w:val="20"/>
          <w:szCs w:val="20"/>
        </w:rPr>
        <w:t>Retnam</w:t>
      </w:r>
      <w:proofErr w:type="spellEnd"/>
      <w:r w:rsidRPr="00CE7D98">
        <w:rPr>
          <w:i/>
          <w:iCs/>
          <w:sz w:val="20"/>
          <w:szCs w:val="20"/>
        </w:rPr>
        <w:t xml:space="preserve"> v PP</w:t>
      </w:r>
      <w:r>
        <w:rPr>
          <w:sz w:val="20"/>
          <w:szCs w:val="20"/>
        </w:rPr>
        <w:t xml:space="preserve"> [1995] 1 SLR(R) 147 (CA)</w:t>
      </w:r>
      <w:r w:rsidR="00ED116C">
        <w:rPr>
          <w:sz w:val="20"/>
          <w:szCs w:val="20"/>
        </w:rPr>
        <w:t>,</w:t>
      </w:r>
      <w:r>
        <w:rPr>
          <w:sz w:val="20"/>
          <w:szCs w:val="20"/>
        </w:rPr>
        <w:t xml:space="preserve"> at [34]-[40]</w:t>
      </w:r>
      <w:r w:rsidR="0064228C">
        <w:rPr>
          <w:sz w:val="20"/>
          <w:szCs w:val="20"/>
        </w:rPr>
        <w:t>.</w:t>
      </w:r>
    </w:p>
  </w:footnote>
  <w:footnote w:id="70">
    <w:p w14:paraId="7174A119" w14:textId="141449F8" w:rsidR="00836C8C" w:rsidRDefault="00836C8C" w:rsidP="00CA19CB">
      <w:pPr>
        <w:spacing w:line="240" w:lineRule="auto"/>
        <w:rPr>
          <w:sz w:val="20"/>
          <w:szCs w:val="20"/>
        </w:rPr>
      </w:pPr>
      <w:r>
        <w:rPr>
          <w:vertAlign w:val="superscript"/>
        </w:rPr>
        <w:footnoteRef/>
      </w:r>
      <w:r>
        <w:rPr>
          <w:sz w:val="20"/>
          <w:szCs w:val="20"/>
        </w:rPr>
        <w:t xml:space="preserve"> </w:t>
      </w:r>
      <w:r w:rsidRPr="00CE7D98">
        <w:rPr>
          <w:i/>
          <w:iCs/>
          <w:sz w:val="20"/>
          <w:szCs w:val="20"/>
        </w:rPr>
        <w:t>Ansari</w:t>
      </w:r>
      <w:r>
        <w:rPr>
          <w:sz w:val="20"/>
          <w:szCs w:val="20"/>
        </w:rPr>
        <w:t xml:space="preserve">, </w:t>
      </w:r>
      <w:r w:rsidRPr="00CE7D98">
        <w:rPr>
          <w:i/>
          <w:iCs/>
          <w:sz w:val="20"/>
          <w:szCs w:val="20"/>
        </w:rPr>
        <w:t>supra</w:t>
      </w:r>
      <w:r>
        <w:rPr>
          <w:sz w:val="20"/>
          <w:szCs w:val="20"/>
        </w:rPr>
        <w:t xml:space="preserve"> n </w:t>
      </w:r>
      <w:r w:rsidR="00C13D52">
        <w:rPr>
          <w:sz w:val="20"/>
          <w:szCs w:val="20"/>
        </w:rPr>
        <w:t>4</w:t>
      </w:r>
      <w:r>
        <w:rPr>
          <w:sz w:val="20"/>
          <w:szCs w:val="20"/>
        </w:rPr>
        <w:t>, at [18].</w:t>
      </w:r>
      <w:r w:rsidR="00212DF2">
        <w:rPr>
          <w:sz w:val="20"/>
          <w:szCs w:val="20"/>
        </w:rPr>
        <w:t xml:space="preserve"> </w:t>
      </w:r>
      <w:r w:rsidR="00212DF2" w:rsidRPr="00212DF2">
        <w:rPr>
          <w:sz w:val="20"/>
          <w:szCs w:val="20"/>
        </w:rPr>
        <w:t>Since this process is insulated from the main trial, it affords the accused better protection from self-incrimination by allowing him to remain silent during the main trial</w:t>
      </w:r>
      <w:r w:rsidR="00212DF2">
        <w:rPr>
          <w:sz w:val="20"/>
          <w:szCs w:val="20"/>
        </w:rPr>
        <w:t xml:space="preserve">. </w:t>
      </w:r>
      <w:r w:rsidR="00212DF2" w:rsidRPr="00B2034F">
        <w:rPr>
          <w:i/>
          <w:iCs/>
          <w:sz w:val="20"/>
          <w:szCs w:val="20"/>
        </w:rPr>
        <w:t>Ansari</w:t>
      </w:r>
      <w:r w:rsidR="00212DF2">
        <w:rPr>
          <w:sz w:val="20"/>
          <w:szCs w:val="20"/>
        </w:rPr>
        <w:t xml:space="preserve">, </w:t>
      </w:r>
      <w:r w:rsidR="00212DF2" w:rsidRPr="00B2034F">
        <w:rPr>
          <w:i/>
          <w:iCs/>
          <w:sz w:val="20"/>
          <w:szCs w:val="20"/>
        </w:rPr>
        <w:t>supra</w:t>
      </w:r>
      <w:r w:rsidR="00212DF2">
        <w:rPr>
          <w:sz w:val="20"/>
          <w:szCs w:val="20"/>
        </w:rPr>
        <w:t xml:space="preserve"> n </w:t>
      </w:r>
      <w:r w:rsidR="00CE604E">
        <w:rPr>
          <w:sz w:val="20"/>
          <w:szCs w:val="20"/>
        </w:rPr>
        <w:t>4</w:t>
      </w:r>
      <w:r w:rsidR="00212DF2">
        <w:rPr>
          <w:sz w:val="20"/>
          <w:szCs w:val="20"/>
        </w:rPr>
        <w:t>, at [18]</w:t>
      </w:r>
      <w:r w:rsidR="00212DF2" w:rsidRPr="00212DF2">
        <w:rPr>
          <w:sz w:val="20"/>
          <w:szCs w:val="20"/>
        </w:rPr>
        <w:t>.</w:t>
      </w:r>
    </w:p>
  </w:footnote>
  <w:footnote w:id="71">
    <w:p w14:paraId="0C194D05" w14:textId="427DF9D8" w:rsidR="00836C8C" w:rsidRDefault="00836C8C" w:rsidP="00810903">
      <w:pPr>
        <w:spacing w:line="240" w:lineRule="auto"/>
        <w:rPr>
          <w:sz w:val="20"/>
          <w:szCs w:val="20"/>
        </w:rPr>
      </w:pPr>
      <w:r>
        <w:rPr>
          <w:vertAlign w:val="superscript"/>
        </w:rPr>
        <w:footnoteRef/>
      </w:r>
      <w:r>
        <w:rPr>
          <w:sz w:val="20"/>
          <w:szCs w:val="20"/>
        </w:rPr>
        <w:t xml:space="preserve"> </w:t>
      </w:r>
      <w:proofErr w:type="spellStart"/>
      <w:r w:rsidRPr="004813C2">
        <w:rPr>
          <w:i/>
          <w:iCs/>
          <w:sz w:val="20"/>
          <w:szCs w:val="20"/>
        </w:rPr>
        <w:t>Sulaiman</w:t>
      </w:r>
      <w:proofErr w:type="spellEnd"/>
      <w:r>
        <w:rPr>
          <w:sz w:val="20"/>
          <w:szCs w:val="20"/>
        </w:rPr>
        <w:t xml:space="preserve">, </w:t>
      </w:r>
      <w:r w:rsidRPr="006D064C">
        <w:rPr>
          <w:i/>
          <w:iCs/>
          <w:sz w:val="20"/>
          <w:szCs w:val="20"/>
        </w:rPr>
        <w:t>supra</w:t>
      </w:r>
      <w:r>
        <w:rPr>
          <w:sz w:val="20"/>
          <w:szCs w:val="20"/>
        </w:rPr>
        <w:t xml:space="preserve"> n </w:t>
      </w:r>
      <w:r w:rsidR="00D3300C">
        <w:rPr>
          <w:sz w:val="20"/>
          <w:szCs w:val="20"/>
        </w:rPr>
        <w:t>38</w:t>
      </w:r>
      <w:r>
        <w:rPr>
          <w:sz w:val="20"/>
          <w:szCs w:val="20"/>
        </w:rPr>
        <w:t>, at [51]; CPC s 258(3).</w:t>
      </w:r>
    </w:p>
  </w:footnote>
  <w:footnote w:id="72">
    <w:p w14:paraId="752FB871" w14:textId="3011A4A9" w:rsidR="00B62AC5" w:rsidRDefault="00B62AC5" w:rsidP="00810903">
      <w:pPr>
        <w:spacing w:line="240" w:lineRule="auto"/>
        <w:rPr>
          <w:sz w:val="20"/>
          <w:szCs w:val="20"/>
        </w:rPr>
      </w:pPr>
      <w:r>
        <w:rPr>
          <w:vertAlign w:val="superscript"/>
        </w:rPr>
        <w:footnoteRef/>
      </w:r>
      <w:r>
        <w:rPr>
          <w:sz w:val="20"/>
          <w:szCs w:val="20"/>
        </w:rPr>
        <w:t xml:space="preserve"> CPC</w:t>
      </w:r>
      <w:r w:rsidR="00D33A7C">
        <w:rPr>
          <w:sz w:val="20"/>
          <w:szCs w:val="20"/>
        </w:rPr>
        <w:t>,</w:t>
      </w:r>
      <w:r>
        <w:rPr>
          <w:sz w:val="20"/>
          <w:szCs w:val="20"/>
        </w:rPr>
        <w:t xml:space="preserve"> s 259</w:t>
      </w:r>
      <w:r w:rsidR="00411466">
        <w:rPr>
          <w:sz w:val="20"/>
          <w:szCs w:val="20"/>
        </w:rPr>
        <w:t>. This restriction has been interpreted to extend to civil proceedings.</w:t>
      </w:r>
      <w:r w:rsidR="00387589">
        <w:rPr>
          <w:sz w:val="20"/>
          <w:szCs w:val="20"/>
        </w:rPr>
        <w:t xml:space="preserve"> </w:t>
      </w:r>
      <w:r w:rsidR="00982C85" w:rsidRPr="00982C85">
        <w:rPr>
          <w:i/>
          <w:iCs/>
          <w:sz w:val="20"/>
          <w:szCs w:val="20"/>
        </w:rPr>
        <w:t>Manohar</w:t>
      </w:r>
      <w:r w:rsidR="008D28C7">
        <w:rPr>
          <w:sz w:val="20"/>
          <w:szCs w:val="20"/>
        </w:rPr>
        <w:t>,</w:t>
      </w:r>
      <w:r w:rsidR="00387589">
        <w:rPr>
          <w:sz w:val="20"/>
          <w:szCs w:val="20"/>
        </w:rPr>
        <w:t xml:space="preserve"> </w:t>
      </w:r>
      <w:r w:rsidR="00AE20F6" w:rsidRPr="00AE20F6">
        <w:rPr>
          <w:i/>
          <w:iCs/>
          <w:sz w:val="20"/>
          <w:szCs w:val="20"/>
        </w:rPr>
        <w:t>supra</w:t>
      </w:r>
      <w:r w:rsidR="00AE20F6">
        <w:rPr>
          <w:sz w:val="20"/>
          <w:szCs w:val="20"/>
        </w:rPr>
        <w:t xml:space="preserve"> n </w:t>
      </w:r>
      <w:r w:rsidR="0020632A">
        <w:rPr>
          <w:sz w:val="20"/>
          <w:szCs w:val="20"/>
        </w:rPr>
        <w:t>27</w:t>
      </w:r>
      <w:r w:rsidR="00AE20F6">
        <w:rPr>
          <w:sz w:val="20"/>
          <w:szCs w:val="20"/>
        </w:rPr>
        <w:t xml:space="preserve">, </w:t>
      </w:r>
      <w:r w:rsidR="008D28C7">
        <w:rPr>
          <w:sz w:val="20"/>
          <w:szCs w:val="20"/>
        </w:rPr>
        <w:t>at [111]</w:t>
      </w:r>
      <w:r w:rsidR="00982C85">
        <w:rPr>
          <w:sz w:val="20"/>
          <w:szCs w:val="20"/>
        </w:rPr>
        <w:t>.</w:t>
      </w:r>
    </w:p>
  </w:footnote>
  <w:footnote w:id="73">
    <w:p w14:paraId="43B982B5" w14:textId="13167979" w:rsidR="00C43A3C" w:rsidRPr="00C43A3C" w:rsidRDefault="00C43A3C" w:rsidP="00810903">
      <w:pPr>
        <w:spacing w:line="240" w:lineRule="auto"/>
        <w:rPr>
          <w:sz w:val="20"/>
          <w:szCs w:val="20"/>
        </w:rPr>
      </w:pPr>
      <w:r w:rsidRPr="00154481">
        <w:rPr>
          <w:rStyle w:val="FootnoteReference"/>
        </w:rPr>
        <w:footnoteRef/>
      </w:r>
      <w:r>
        <w:t xml:space="preserve"> </w:t>
      </w:r>
      <w:r w:rsidRPr="00982C85">
        <w:rPr>
          <w:i/>
          <w:iCs/>
          <w:sz w:val="20"/>
          <w:szCs w:val="20"/>
        </w:rPr>
        <w:t>Manohar</w:t>
      </w:r>
      <w:r w:rsidR="00C13D52">
        <w:rPr>
          <w:sz w:val="20"/>
          <w:szCs w:val="20"/>
        </w:rPr>
        <w:t xml:space="preserve">, </w:t>
      </w:r>
      <w:r w:rsidR="007317AA">
        <w:rPr>
          <w:i/>
          <w:iCs/>
          <w:sz w:val="20"/>
          <w:szCs w:val="20"/>
        </w:rPr>
        <w:t>id</w:t>
      </w:r>
      <w:r w:rsidR="00C13D52">
        <w:rPr>
          <w:sz w:val="20"/>
          <w:szCs w:val="20"/>
        </w:rPr>
        <w:t>,</w:t>
      </w:r>
      <w:r>
        <w:rPr>
          <w:sz w:val="20"/>
          <w:szCs w:val="20"/>
        </w:rPr>
        <w:t xml:space="preserve"> at [79].</w:t>
      </w:r>
    </w:p>
  </w:footnote>
  <w:footnote w:id="74">
    <w:p w14:paraId="42C3C874" w14:textId="643BAD24" w:rsidR="00B62AC5" w:rsidRDefault="00B62AC5" w:rsidP="00810903">
      <w:pPr>
        <w:spacing w:line="240" w:lineRule="auto"/>
        <w:rPr>
          <w:sz w:val="20"/>
          <w:szCs w:val="20"/>
        </w:rPr>
      </w:pPr>
      <w:r>
        <w:rPr>
          <w:vertAlign w:val="superscript"/>
        </w:rPr>
        <w:footnoteRef/>
      </w:r>
      <w:r>
        <w:rPr>
          <w:sz w:val="20"/>
          <w:szCs w:val="20"/>
        </w:rPr>
        <w:t xml:space="preserve"> CPC</w:t>
      </w:r>
      <w:r w:rsidR="00D33A7C">
        <w:rPr>
          <w:sz w:val="20"/>
          <w:szCs w:val="20"/>
        </w:rPr>
        <w:t>,</w:t>
      </w:r>
      <w:r>
        <w:rPr>
          <w:sz w:val="20"/>
          <w:szCs w:val="20"/>
        </w:rPr>
        <w:t xml:space="preserve"> s 259.</w:t>
      </w:r>
    </w:p>
  </w:footnote>
  <w:footnote w:id="75">
    <w:p w14:paraId="666FD15E" w14:textId="606E34FD" w:rsidR="00E9163E" w:rsidRPr="00E9163E" w:rsidRDefault="00E9163E" w:rsidP="00CA19CB">
      <w:pPr>
        <w:pStyle w:val="FootnoteText"/>
        <w:spacing w:line="240" w:lineRule="auto"/>
        <w:rPr>
          <w:lang w:val="en-US"/>
        </w:rPr>
      </w:pPr>
      <w:r>
        <w:rPr>
          <w:rStyle w:val="FootnoteReference"/>
        </w:rPr>
        <w:footnoteRef/>
      </w:r>
      <w:r>
        <w:t xml:space="preserve"> The lack of relevance could be suggested by CPC s 259(1)(c), while </w:t>
      </w:r>
      <w:r>
        <w:rPr>
          <w:lang w:val="en-US"/>
        </w:rPr>
        <w:t>the lack of reliability could be suggested by CPC</w:t>
      </w:r>
      <w:r w:rsidR="00D33A7C">
        <w:rPr>
          <w:lang w:val="en-US"/>
        </w:rPr>
        <w:t>,</w:t>
      </w:r>
      <w:r>
        <w:rPr>
          <w:lang w:val="en-US"/>
        </w:rPr>
        <w:t xml:space="preserve"> s 147.</w:t>
      </w:r>
    </w:p>
  </w:footnote>
  <w:footnote w:id="76">
    <w:p w14:paraId="6BEDD84A" w14:textId="2FE6C6A1" w:rsidR="00B62AC5" w:rsidRDefault="00B62AC5" w:rsidP="00CA19CB">
      <w:pPr>
        <w:spacing w:line="240" w:lineRule="auto"/>
        <w:rPr>
          <w:sz w:val="20"/>
          <w:szCs w:val="20"/>
        </w:rPr>
      </w:pPr>
      <w:r>
        <w:rPr>
          <w:vertAlign w:val="superscript"/>
        </w:rPr>
        <w:footnoteRef/>
      </w:r>
      <w:r>
        <w:rPr>
          <w:sz w:val="20"/>
          <w:szCs w:val="20"/>
        </w:rPr>
        <w:t xml:space="preserve"> Law Society of Singapore, </w:t>
      </w:r>
      <w:r w:rsidRPr="00611863">
        <w:rPr>
          <w:i/>
          <w:iCs/>
          <w:sz w:val="20"/>
          <w:szCs w:val="20"/>
        </w:rPr>
        <w:t>Report on Draft CPC Bill</w:t>
      </w:r>
      <w:r>
        <w:rPr>
          <w:sz w:val="20"/>
          <w:szCs w:val="20"/>
        </w:rPr>
        <w:t xml:space="preserve">, </w:t>
      </w:r>
      <w:r w:rsidRPr="00CE7D98">
        <w:rPr>
          <w:i/>
          <w:iCs/>
          <w:sz w:val="20"/>
          <w:szCs w:val="20"/>
        </w:rPr>
        <w:t>supra</w:t>
      </w:r>
      <w:r>
        <w:rPr>
          <w:sz w:val="20"/>
          <w:szCs w:val="20"/>
        </w:rPr>
        <w:t xml:space="preserve"> n </w:t>
      </w:r>
      <w:r w:rsidR="00F733A1">
        <w:rPr>
          <w:sz w:val="20"/>
          <w:szCs w:val="20"/>
        </w:rPr>
        <w:t>10</w:t>
      </w:r>
      <w:r>
        <w:rPr>
          <w:sz w:val="20"/>
          <w:szCs w:val="20"/>
        </w:rPr>
        <w:t>, p 34, at [3.30].</w:t>
      </w:r>
    </w:p>
  </w:footnote>
  <w:footnote w:id="77">
    <w:p w14:paraId="1E8F7A08" w14:textId="0324D6BE" w:rsidR="00B62AC5" w:rsidRDefault="00B62AC5" w:rsidP="00CA19CB">
      <w:pPr>
        <w:spacing w:line="240" w:lineRule="auto"/>
        <w:rPr>
          <w:sz w:val="20"/>
          <w:szCs w:val="20"/>
        </w:rPr>
      </w:pPr>
      <w:r>
        <w:rPr>
          <w:vertAlign w:val="superscript"/>
        </w:rPr>
        <w:footnoteRef/>
      </w:r>
      <w:r>
        <w:rPr>
          <w:sz w:val="20"/>
          <w:szCs w:val="20"/>
        </w:rPr>
        <w:t xml:space="preserve"> </w:t>
      </w:r>
      <w:r w:rsidRPr="00CE7D98">
        <w:rPr>
          <w:i/>
          <w:iCs/>
          <w:sz w:val="20"/>
          <w:szCs w:val="20"/>
        </w:rPr>
        <w:t>I</w:t>
      </w:r>
      <w:r>
        <w:rPr>
          <w:i/>
          <w:iCs/>
          <w:sz w:val="20"/>
          <w:szCs w:val="20"/>
        </w:rPr>
        <w:t>d</w:t>
      </w:r>
      <w:r>
        <w:rPr>
          <w:sz w:val="20"/>
          <w:szCs w:val="20"/>
        </w:rPr>
        <w:t>, at [3.31]</w:t>
      </w:r>
      <w:proofErr w:type="gramStart"/>
      <w:r w:rsidR="00992AD0">
        <w:rPr>
          <w:sz w:val="20"/>
          <w:szCs w:val="20"/>
        </w:rPr>
        <w:t>-</w:t>
      </w:r>
      <w:r>
        <w:rPr>
          <w:sz w:val="20"/>
          <w:szCs w:val="20"/>
        </w:rPr>
        <w:t>[</w:t>
      </w:r>
      <w:proofErr w:type="gramEnd"/>
      <w:r>
        <w:rPr>
          <w:sz w:val="20"/>
          <w:szCs w:val="20"/>
        </w:rPr>
        <w:t>3.32].</w:t>
      </w:r>
    </w:p>
  </w:footnote>
  <w:footnote w:id="78">
    <w:p w14:paraId="3E51C69C" w14:textId="3CC0B8C2" w:rsidR="00BE7974" w:rsidRPr="007020F5" w:rsidRDefault="00BE7974" w:rsidP="00CA19CB">
      <w:pPr>
        <w:pStyle w:val="FootnoteText"/>
        <w:spacing w:line="240" w:lineRule="auto"/>
        <w:rPr>
          <w:lang w:val="en-US"/>
        </w:rPr>
      </w:pPr>
      <w:r>
        <w:rPr>
          <w:rStyle w:val="FootnoteReference"/>
        </w:rPr>
        <w:footnoteRef/>
      </w:r>
      <w:r>
        <w:t xml:space="preserve"> </w:t>
      </w:r>
      <w:r w:rsidRPr="00FF17B1">
        <w:rPr>
          <w:i/>
          <w:iCs/>
        </w:rPr>
        <w:t xml:space="preserve">PP v Wee </w:t>
      </w:r>
      <w:proofErr w:type="spellStart"/>
      <w:r w:rsidRPr="00FF17B1">
        <w:rPr>
          <w:i/>
          <w:iCs/>
        </w:rPr>
        <w:t>Teong</w:t>
      </w:r>
      <w:proofErr w:type="spellEnd"/>
      <w:r w:rsidRPr="00FF17B1">
        <w:rPr>
          <w:i/>
          <w:iCs/>
        </w:rPr>
        <w:t xml:space="preserve"> Boo</w:t>
      </w:r>
      <w:r>
        <w:t xml:space="preserve"> [2020] SGCA 56</w:t>
      </w:r>
      <w:r w:rsidR="00106E08">
        <w:t>,</w:t>
      </w:r>
      <w:r>
        <w:t xml:space="preserve"> at [127]</w:t>
      </w:r>
      <w:r>
        <w:rPr>
          <w:lang w:val="en-US"/>
        </w:rPr>
        <w:t>.</w:t>
      </w:r>
    </w:p>
  </w:footnote>
  <w:footnote w:id="79">
    <w:p w14:paraId="623D23A4" w14:textId="77777777" w:rsidR="00BE7974" w:rsidRPr="00FF17B1" w:rsidRDefault="00BE7974" w:rsidP="00CA19CB">
      <w:pPr>
        <w:pStyle w:val="FootnoteText"/>
        <w:spacing w:line="240" w:lineRule="auto"/>
        <w:rPr>
          <w:lang w:val="en-US"/>
        </w:rPr>
      </w:pPr>
      <w:r>
        <w:rPr>
          <w:rStyle w:val="FootnoteReference"/>
        </w:rPr>
        <w:footnoteRef/>
      </w:r>
      <w:r>
        <w:t xml:space="preserve"> This is known as the “additional disclosure obligations”, which is/are above and beyond the </w:t>
      </w:r>
      <w:r w:rsidRPr="007020F5">
        <w:rPr>
          <w:i/>
          <w:iCs/>
        </w:rPr>
        <w:t>Kadar</w:t>
      </w:r>
      <w:r>
        <w:t xml:space="preserve"> obligations, and the obligation only ends when proceedings against the accused person have been </w:t>
      </w:r>
      <w:proofErr w:type="gramStart"/>
      <w:r>
        <w:t>completely  disposed</w:t>
      </w:r>
      <w:proofErr w:type="gramEnd"/>
      <w:r>
        <w:t xml:space="preserve"> of. </w:t>
      </w:r>
      <w:r w:rsidRPr="00FF17B1">
        <w:rPr>
          <w:i/>
          <w:iCs/>
        </w:rPr>
        <w:t xml:space="preserve">Muhammad </w:t>
      </w:r>
      <w:proofErr w:type="spellStart"/>
      <w:r w:rsidRPr="00FF17B1">
        <w:rPr>
          <w:i/>
          <w:iCs/>
        </w:rPr>
        <w:t>Nabill</w:t>
      </w:r>
      <w:proofErr w:type="spellEnd"/>
      <w:r w:rsidRPr="00FF17B1">
        <w:rPr>
          <w:i/>
          <w:iCs/>
        </w:rPr>
        <w:t xml:space="preserve"> bin </w:t>
      </w:r>
      <w:proofErr w:type="spellStart"/>
      <w:r w:rsidRPr="00FF17B1">
        <w:rPr>
          <w:i/>
          <w:iCs/>
        </w:rPr>
        <w:t>Mohd</w:t>
      </w:r>
      <w:proofErr w:type="spellEnd"/>
      <w:r w:rsidRPr="00FF17B1">
        <w:rPr>
          <w:i/>
          <w:iCs/>
        </w:rPr>
        <w:t xml:space="preserve"> Fuad v PP</w:t>
      </w:r>
      <w:r>
        <w:t xml:space="preserve"> [2020] SGCA 25 at [39], [44], [45]</w:t>
      </w:r>
      <w:r>
        <w:rPr>
          <w:lang w:val="en-US"/>
        </w:rPr>
        <w:t>, and [50].</w:t>
      </w:r>
    </w:p>
  </w:footnote>
  <w:footnote w:id="80">
    <w:p w14:paraId="5E8D23AB" w14:textId="77777777" w:rsidR="00BE7974" w:rsidRPr="00FF17B1" w:rsidRDefault="00BE7974" w:rsidP="00CA19CB">
      <w:pPr>
        <w:pStyle w:val="FootnoteText"/>
        <w:spacing w:line="240" w:lineRule="auto"/>
        <w:rPr>
          <w:lang w:val="en-US"/>
        </w:rPr>
      </w:pPr>
      <w:r>
        <w:rPr>
          <w:rStyle w:val="FootnoteReference"/>
        </w:rPr>
        <w:footnoteRef/>
      </w:r>
      <w:r>
        <w:t xml:space="preserve"> </w:t>
      </w:r>
      <w:r w:rsidRPr="00FF17B1">
        <w:rPr>
          <w:i/>
          <w:iCs/>
        </w:rPr>
        <w:t>Lim Hong Liang v PP</w:t>
      </w:r>
      <w:r>
        <w:t xml:space="preserve"> [2021] SGHC 106, at [21]-[22].</w:t>
      </w:r>
    </w:p>
  </w:footnote>
  <w:footnote w:id="81">
    <w:p w14:paraId="7643D4ED" w14:textId="24AB3901" w:rsidR="00307041" w:rsidRPr="00307041" w:rsidRDefault="00307041" w:rsidP="00CA19CB">
      <w:pPr>
        <w:pStyle w:val="FootnoteText"/>
        <w:spacing w:line="240" w:lineRule="auto"/>
        <w:rPr>
          <w:lang w:val="en-US"/>
        </w:rPr>
      </w:pPr>
      <w:r>
        <w:rPr>
          <w:rStyle w:val="FootnoteReference"/>
        </w:rPr>
        <w:footnoteRef/>
      </w:r>
      <w:r w:rsidR="0075330A" w:rsidRPr="003D1118">
        <w:rPr>
          <w:lang w:val="en-US"/>
        </w:rPr>
        <w:t xml:space="preserve"> </w:t>
      </w:r>
      <w:r w:rsidR="0075330A" w:rsidRPr="0075330A">
        <w:rPr>
          <w:i/>
          <w:iCs/>
          <w:lang w:val="en-US"/>
        </w:rPr>
        <w:t>Kadar</w:t>
      </w:r>
      <w:r>
        <w:rPr>
          <w:lang w:val="en-US"/>
        </w:rPr>
        <w:t>,</w:t>
      </w:r>
      <w:r w:rsidR="0075330A">
        <w:rPr>
          <w:lang w:val="en-US"/>
        </w:rPr>
        <w:t xml:space="preserve"> </w:t>
      </w:r>
      <w:r w:rsidR="00FB25A1" w:rsidRPr="00FB25A1">
        <w:rPr>
          <w:i/>
          <w:iCs/>
          <w:lang w:val="en-US"/>
        </w:rPr>
        <w:t>supra</w:t>
      </w:r>
      <w:r w:rsidR="00FB25A1">
        <w:rPr>
          <w:lang w:val="en-US"/>
        </w:rPr>
        <w:t xml:space="preserve"> n </w:t>
      </w:r>
      <w:r w:rsidR="00D3300C">
        <w:rPr>
          <w:lang w:val="en-US"/>
        </w:rPr>
        <w:t>1</w:t>
      </w:r>
      <w:r w:rsidR="00FB25A1">
        <w:rPr>
          <w:lang w:val="en-US"/>
        </w:rPr>
        <w:t xml:space="preserve">, </w:t>
      </w:r>
      <w:r>
        <w:rPr>
          <w:lang w:val="en-US"/>
        </w:rPr>
        <w:t>at [58].</w:t>
      </w:r>
    </w:p>
  </w:footnote>
  <w:footnote w:id="82">
    <w:p w14:paraId="7E7E9CB9" w14:textId="72F84FB6" w:rsidR="0090137A" w:rsidRPr="0090137A" w:rsidRDefault="0090137A" w:rsidP="00CA19CB">
      <w:pPr>
        <w:pStyle w:val="FootnoteText"/>
        <w:spacing w:line="240" w:lineRule="auto"/>
        <w:rPr>
          <w:lang w:val="en-US"/>
        </w:rPr>
      </w:pPr>
      <w:r>
        <w:rPr>
          <w:rStyle w:val="FootnoteReference"/>
        </w:rPr>
        <w:footnoteRef/>
      </w:r>
      <w:r>
        <w:t xml:space="preserve"> </w:t>
      </w:r>
      <w:r w:rsidRPr="0090137A">
        <w:rPr>
          <w:i/>
          <w:iCs/>
          <w:lang w:val="en-US"/>
        </w:rPr>
        <w:t>Ibid</w:t>
      </w:r>
      <w:r>
        <w:rPr>
          <w:lang w:val="en-US"/>
        </w:rPr>
        <w:t>.</w:t>
      </w:r>
    </w:p>
  </w:footnote>
  <w:footnote w:id="83">
    <w:p w14:paraId="79045534" w14:textId="7D1DA253" w:rsidR="00852E86" w:rsidRPr="00852E86" w:rsidRDefault="00852E86" w:rsidP="00CA19CB">
      <w:pPr>
        <w:pStyle w:val="FootnoteText"/>
        <w:spacing w:line="240" w:lineRule="auto"/>
        <w:rPr>
          <w:lang w:val="en-US"/>
        </w:rPr>
      </w:pPr>
      <w:r>
        <w:rPr>
          <w:rStyle w:val="FootnoteReference"/>
        </w:rPr>
        <w:footnoteRef/>
      </w:r>
      <w:r>
        <w:t xml:space="preserve"> </w:t>
      </w:r>
      <w:r w:rsidRPr="00852E86">
        <w:rPr>
          <w:i/>
          <w:iCs/>
        </w:rPr>
        <w:t>Id</w:t>
      </w:r>
      <w:r>
        <w:t>, at [59].</w:t>
      </w:r>
    </w:p>
  </w:footnote>
  <w:footnote w:id="84">
    <w:p w14:paraId="1DCF7810" w14:textId="77777777" w:rsidR="00BE7974" w:rsidRPr="00FF17B1" w:rsidRDefault="00BE7974" w:rsidP="00CA19CB">
      <w:pPr>
        <w:pStyle w:val="FootnoteText"/>
        <w:spacing w:line="240" w:lineRule="auto"/>
        <w:rPr>
          <w:lang w:val="en-US"/>
        </w:rPr>
      </w:pPr>
      <w:r>
        <w:rPr>
          <w:rStyle w:val="FootnoteReference"/>
        </w:rPr>
        <w:footnoteRef/>
      </w:r>
      <w:r>
        <w:t xml:space="preserve"> </w:t>
      </w:r>
      <w:r>
        <w:rPr>
          <w:i/>
          <w:iCs/>
        </w:rPr>
        <w:t>Id</w:t>
      </w:r>
      <w:r>
        <w:t>, at [160]-[163].</w:t>
      </w:r>
    </w:p>
  </w:footnote>
  <w:footnote w:id="85">
    <w:p w14:paraId="3B3DB51C" w14:textId="77777777" w:rsidR="00BE7974" w:rsidRPr="00FF17B1" w:rsidRDefault="00BE7974" w:rsidP="00CA19CB">
      <w:pPr>
        <w:pStyle w:val="FootnoteText"/>
        <w:spacing w:line="240" w:lineRule="auto"/>
        <w:rPr>
          <w:lang w:val="en-US"/>
        </w:rPr>
      </w:pPr>
      <w:r>
        <w:rPr>
          <w:rStyle w:val="FootnoteReference"/>
        </w:rPr>
        <w:footnoteRef/>
      </w:r>
      <w:r>
        <w:t xml:space="preserve"> </w:t>
      </w:r>
      <w:r w:rsidRPr="006D064C">
        <w:rPr>
          <w:i/>
          <w:iCs/>
        </w:rPr>
        <w:t>I</w:t>
      </w:r>
      <w:r>
        <w:rPr>
          <w:i/>
          <w:iCs/>
        </w:rPr>
        <w:t>d</w:t>
      </w:r>
      <w:r>
        <w:t>, at [149] and [185].</w:t>
      </w:r>
    </w:p>
  </w:footnote>
  <w:footnote w:id="86">
    <w:p w14:paraId="27914BE7" w14:textId="129B13E2" w:rsidR="00E17EC8" w:rsidRDefault="00E17EC8" w:rsidP="00CA19CB">
      <w:pPr>
        <w:spacing w:line="240" w:lineRule="auto"/>
        <w:rPr>
          <w:sz w:val="20"/>
          <w:szCs w:val="20"/>
        </w:rPr>
      </w:pPr>
      <w:r>
        <w:rPr>
          <w:vertAlign w:val="superscript"/>
        </w:rPr>
        <w:footnoteRef/>
      </w:r>
      <w:r>
        <w:rPr>
          <w:sz w:val="20"/>
          <w:szCs w:val="20"/>
        </w:rPr>
        <w:t xml:space="preserve"> </w:t>
      </w:r>
      <w:r w:rsidRPr="00B2034F">
        <w:rPr>
          <w:i/>
          <w:iCs/>
          <w:sz w:val="20"/>
          <w:szCs w:val="20"/>
        </w:rPr>
        <w:t>Kannan</w:t>
      </w:r>
      <w:r>
        <w:rPr>
          <w:sz w:val="20"/>
          <w:szCs w:val="20"/>
        </w:rPr>
        <w:t xml:space="preserve">, </w:t>
      </w:r>
      <w:r w:rsidRPr="00B2034F">
        <w:rPr>
          <w:i/>
          <w:iCs/>
          <w:sz w:val="20"/>
          <w:szCs w:val="20"/>
        </w:rPr>
        <w:t>supra</w:t>
      </w:r>
      <w:r>
        <w:rPr>
          <w:sz w:val="20"/>
          <w:szCs w:val="20"/>
        </w:rPr>
        <w:t xml:space="preserve"> n </w:t>
      </w:r>
      <w:r w:rsidR="00D3300C">
        <w:rPr>
          <w:sz w:val="20"/>
          <w:szCs w:val="20"/>
        </w:rPr>
        <w:t>12</w:t>
      </w:r>
      <w:r>
        <w:rPr>
          <w:sz w:val="20"/>
          <w:szCs w:val="20"/>
        </w:rPr>
        <w:t>, at [60].</w:t>
      </w:r>
    </w:p>
  </w:footnote>
  <w:footnote w:id="87">
    <w:p w14:paraId="0C199604" w14:textId="77777777" w:rsidR="00E17EC8" w:rsidRDefault="00E17EC8" w:rsidP="00810903">
      <w:pPr>
        <w:spacing w:line="240" w:lineRule="auto"/>
        <w:rPr>
          <w:sz w:val="20"/>
          <w:szCs w:val="20"/>
        </w:rPr>
      </w:pPr>
      <w:r>
        <w:rPr>
          <w:vertAlign w:val="superscript"/>
        </w:rPr>
        <w:footnoteRef/>
      </w:r>
      <w:r>
        <w:rPr>
          <w:sz w:val="20"/>
          <w:szCs w:val="20"/>
        </w:rPr>
        <w:t xml:space="preserve"> </w:t>
      </w:r>
      <w:r w:rsidRPr="00B2034F">
        <w:rPr>
          <w:i/>
          <w:iCs/>
          <w:sz w:val="20"/>
          <w:szCs w:val="20"/>
        </w:rPr>
        <w:t>Ibid</w:t>
      </w:r>
      <w:r>
        <w:rPr>
          <w:sz w:val="20"/>
          <w:szCs w:val="20"/>
        </w:rPr>
        <w:t>.</w:t>
      </w:r>
    </w:p>
  </w:footnote>
  <w:footnote w:id="88">
    <w:p w14:paraId="4C9CDAAA" w14:textId="77777777" w:rsidR="00E17EC8" w:rsidRDefault="00E17EC8" w:rsidP="00810903">
      <w:pPr>
        <w:spacing w:line="240" w:lineRule="auto"/>
        <w:rPr>
          <w:sz w:val="20"/>
          <w:szCs w:val="20"/>
        </w:rPr>
      </w:pPr>
      <w:r>
        <w:rPr>
          <w:vertAlign w:val="superscript"/>
        </w:rPr>
        <w:footnoteRef/>
      </w:r>
      <w:r>
        <w:rPr>
          <w:sz w:val="20"/>
          <w:szCs w:val="20"/>
        </w:rPr>
        <w:t xml:space="preserve"> </w:t>
      </w:r>
      <w:r w:rsidRPr="00B2034F">
        <w:rPr>
          <w:i/>
          <w:iCs/>
          <w:sz w:val="20"/>
          <w:szCs w:val="20"/>
        </w:rPr>
        <w:t xml:space="preserve">PP v </w:t>
      </w:r>
      <w:proofErr w:type="spellStart"/>
      <w:r w:rsidRPr="00B2034F">
        <w:rPr>
          <w:i/>
          <w:iCs/>
          <w:sz w:val="20"/>
          <w:szCs w:val="20"/>
        </w:rPr>
        <w:t>Ilechukwu</w:t>
      </w:r>
      <w:proofErr w:type="spellEnd"/>
      <w:r w:rsidRPr="00B2034F">
        <w:rPr>
          <w:i/>
          <w:iCs/>
          <w:sz w:val="20"/>
          <w:szCs w:val="20"/>
        </w:rPr>
        <w:t xml:space="preserve"> </w:t>
      </w:r>
      <w:proofErr w:type="spellStart"/>
      <w:r w:rsidRPr="00B2034F">
        <w:rPr>
          <w:i/>
          <w:iCs/>
          <w:sz w:val="20"/>
          <w:szCs w:val="20"/>
        </w:rPr>
        <w:t>Uchechukwu</w:t>
      </w:r>
      <w:proofErr w:type="spellEnd"/>
      <w:r w:rsidRPr="00B2034F">
        <w:rPr>
          <w:i/>
          <w:iCs/>
          <w:sz w:val="20"/>
          <w:szCs w:val="20"/>
        </w:rPr>
        <w:t xml:space="preserve"> </w:t>
      </w:r>
      <w:proofErr w:type="spellStart"/>
      <w:r w:rsidRPr="00B2034F">
        <w:rPr>
          <w:i/>
          <w:iCs/>
          <w:sz w:val="20"/>
          <w:szCs w:val="20"/>
        </w:rPr>
        <w:t>Chukwudi</w:t>
      </w:r>
      <w:proofErr w:type="spellEnd"/>
      <w:r>
        <w:rPr>
          <w:sz w:val="20"/>
          <w:szCs w:val="20"/>
        </w:rPr>
        <w:t xml:space="preserve"> [2015] SGCA 33 (Conviction) (“</w:t>
      </w:r>
      <w:proofErr w:type="spellStart"/>
      <w:r w:rsidRPr="00775128">
        <w:rPr>
          <w:i/>
          <w:iCs/>
          <w:sz w:val="20"/>
          <w:szCs w:val="20"/>
        </w:rPr>
        <w:t>Chukwudi</w:t>
      </w:r>
      <w:proofErr w:type="spellEnd"/>
      <w:r>
        <w:rPr>
          <w:sz w:val="20"/>
          <w:szCs w:val="20"/>
        </w:rPr>
        <w:t>”), at [60].</w:t>
      </w:r>
    </w:p>
  </w:footnote>
  <w:footnote w:id="89">
    <w:p w14:paraId="387D82FA" w14:textId="2AF7D075" w:rsidR="00E17EC8" w:rsidRDefault="00E17EC8" w:rsidP="00810903">
      <w:pPr>
        <w:spacing w:line="240" w:lineRule="auto"/>
        <w:rPr>
          <w:sz w:val="20"/>
          <w:szCs w:val="20"/>
        </w:rPr>
      </w:pPr>
      <w:r>
        <w:rPr>
          <w:vertAlign w:val="superscript"/>
        </w:rPr>
        <w:footnoteRef/>
      </w:r>
      <w:r>
        <w:rPr>
          <w:sz w:val="20"/>
          <w:szCs w:val="20"/>
        </w:rPr>
        <w:t xml:space="preserve"> </w:t>
      </w:r>
      <w:r w:rsidRPr="00B2034F">
        <w:rPr>
          <w:i/>
          <w:iCs/>
          <w:sz w:val="20"/>
          <w:szCs w:val="20"/>
        </w:rPr>
        <w:t>Kannan</w:t>
      </w:r>
      <w:r>
        <w:rPr>
          <w:sz w:val="20"/>
          <w:szCs w:val="20"/>
        </w:rPr>
        <w:t xml:space="preserve">, </w:t>
      </w:r>
      <w:r w:rsidRPr="00B2034F">
        <w:rPr>
          <w:i/>
          <w:iCs/>
          <w:sz w:val="20"/>
          <w:szCs w:val="20"/>
        </w:rPr>
        <w:t>supra</w:t>
      </w:r>
      <w:r>
        <w:rPr>
          <w:sz w:val="20"/>
          <w:szCs w:val="20"/>
        </w:rPr>
        <w:t xml:space="preserve"> n </w:t>
      </w:r>
      <w:r w:rsidR="00D3300C">
        <w:rPr>
          <w:sz w:val="20"/>
          <w:szCs w:val="20"/>
        </w:rPr>
        <w:t>12</w:t>
      </w:r>
      <w:r>
        <w:rPr>
          <w:sz w:val="20"/>
          <w:szCs w:val="20"/>
        </w:rPr>
        <w:t>, at [60], [63], and [65].</w:t>
      </w:r>
    </w:p>
  </w:footnote>
  <w:footnote w:id="90">
    <w:p w14:paraId="508DE76E" w14:textId="5D97F215" w:rsidR="00B000B3" w:rsidRDefault="00B000B3" w:rsidP="00810903">
      <w:pPr>
        <w:spacing w:line="240" w:lineRule="auto"/>
        <w:rPr>
          <w:sz w:val="20"/>
          <w:szCs w:val="20"/>
        </w:rPr>
      </w:pPr>
      <w:r>
        <w:rPr>
          <w:vertAlign w:val="superscript"/>
        </w:rPr>
        <w:footnoteRef/>
      </w:r>
      <w:r>
        <w:rPr>
          <w:sz w:val="20"/>
          <w:szCs w:val="20"/>
        </w:rPr>
        <w:t xml:space="preserve"> </w:t>
      </w:r>
      <w:r w:rsidRPr="00B2034F">
        <w:rPr>
          <w:i/>
          <w:iCs/>
          <w:sz w:val="20"/>
          <w:szCs w:val="20"/>
        </w:rPr>
        <w:t xml:space="preserve">Ng </w:t>
      </w:r>
      <w:proofErr w:type="spellStart"/>
      <w:r w:rsidRPr="00B2034F">
        <w:rPr>
          <w:i/>
          <w:iCs/>
          <w:sz w:val="20"/>
          <w:szCs w:val="20"/>
        </w:rPr>
        <w:t>Kwee</w:t>
      </w:r>
      <w:proofErr w:type="spellEnd"/>
      <w:r w:rsidRPr="00B2034F">
        <w:rPr>
          <w:i/>
          <w:iCs/>
          <w:sz w:val="20"/>
          <w:szCs w:val="20"/>
        </w:rPr>
        <w:t xml:space="preserve"> Leong v </w:t>
      </w:r>
      <w:r>
        <w:rPr>
          <w:i/>
          <w:iCs/>
          <w:sz w:val="20"/>
          <w:szCs w:val="20"/>
        </w:rPr>
        <w:t xml:space="preserve">PP </w:t>
      </w:r>
      <w:r>
        <w:rPr>
          <w:sz w:val="20"/>
          <w:szCs w:val="20"/>
        </w:rPr>
        <w:t>[1998] 3 SLR(R) 281 (“</w:t>
      </w:r>
      <w:r w:rsidRPr="00B2034F">
        <w:rPr>
          <w:i/>
          <w:iCs/>
          <w:sz w:val="20"/>
          <w:szCs w:val="20"/>
        </w:rPr>
        <w:t xml:space="preserve">Ng </w:t>
      </w:r>
      <w:proofErr w:type="spellStart"/>
      <w:r w:rsidRPr="00B2034F">
        <w:rPr>
          <w:i/>
          <w:iCs/>
          <w:sz w:val="20"/>
          <w:szCs w:val="20"/>
        </w:rPr>
        <w:t>Kwee</w:t>
      </w:r>
      <w:proofErr w:type="spellEnd"/>
      <w:r w:rsidRPr="00B2034F">
        <w:rPr>
          <w:i/>
          <w:iCs/>
          <w:sz w:val="20"/>
          <w:szCs w:val="20"/>
        </w:rPr>
        <w:t xml:space="preserve"> Leong</w:t>
      </w:r>
      <w:r>
        <w:rPr>
          <w:sz w:val="20"/>
          <w:szCs w:val="20"/>
        </w:rPr>
        <w:t xml:space="preserve">”) at [15]; </w:t>
      </w:r>
      <w:r w:rsidRPr="00B2034F">
        <w:rPr>
          <w:i/>
          <w:iCs/>
          <w:sz w:val="20"/>
          <w:szCs w:val="20"/>
        </w:rPr>
        <w:t>Kannan</w:t>
      </w:r>
      <w:r>
        <w:rPr>
          <w:sz w:val="20"/>
          <w:szCs w:val="20"/>
        </w:rPr>
        <w:t xml:space="preserve">, </w:t>
      </w:r>
      <w:r w:rsidR="00F5619D">
        <w:rPr>
          <w:i/>
          <w:iCs/>
          <w:sz w:val="20"/>
          <w:szCs w:val="20"/>
        </w:rPr>
        <w:t>id</w:t>
      </w:r>
      <w:r>
        <w:rPr>
          <w:sz w:val="20"/>
          <w:szCs w:val="20"/>
        </w:rPr>
        <w:t>, at [79].</w:t>
      </w:r>
    </w:p>
  </w:footnote>
  <w:footnote w:id="91">
    <w:p w14:paraId="56AC687E" w14:textId="4B0832D4" w:rsidR="00E17EC8" w:rsidRDefault="00E17EC8" w:rsidP="00810903">
      <w:pPr>
        <w:spacing w:line="240" w:lineRule="auto"/>
        <w:rPr>
          <w:sz w:val="20"/>
          <w:szCs w:val="20"/>
        </w:rPr>
      </w:pPr>
      <w:r>
        <w:rPr>
          <w:vertAlign w:val="superscript"/>
        </w:rPr>
        <w:footnoteRef/>
      </w:r>
      <w:r>
        <w:rPr>
          <w:sz w:val="20"/>
          <w:szCs w:val="20"/>
        </w:rPr>
        <w:t xml:space="preserve"> </w:t>
      </w:r>
      <w:r w:rsidRPr="00B2034F">
        <w:rPr>
          <w:i/>
          <w:iCs/>
          <w:sz w:val="20"/>
          <w:szCs w:val="20"/>
        </w:rPr>
        <w:t xml:space="preserve">Ng </w:t>
      </w:r>
      <w:proofErr w:type="spellStart"/>
      <w:r w:rsidRPr="00B2034F">
        <w:rPr>
          <w:i/>
          <w:iCs/>
          <w:sz w:val="20"/>
          <w:szCs w:val="20"/>
        </w:rPr>
        <w:t>Kwee</w:t>
      </w:r>
      <w:proofErr w:type="spellEnd"/>
      <w:r w:rsidRPr="00B2034F">
        <w:rPr>
          <w:i/>
          <w:iCs/>
          <w:sz w:val="20"/>
          <w:szCs w:val="20"/>
        </w:rPr>
        <w:t xml:space="preserve"> Leong</w:t>
      </w:r>
      <w:r>
        <w:rPr>
          <w:sz w:val="20"/>
          <w:szCs w:val="20"/>
        </w:rPr>
        <w:t xml:space="preserve">, </w:t>
      </w:r>
      <w:r w:rsidRPr="00B2034F">
        <w:rPr>
          <w:i/>
          <w:iCs/>
          <w:sz w:val="20"/>
          <w:szCs w:val="20"/>
        </w:rPr>
        <w:t>ibid</w:t>
      </w:r>
      <w:r>
        <w:rPr>
          <w:sz w:val="20"/>
          <w:szCs w:val="20"/>
        </w:rPr>
        <w:t>, albeit dealing with witness testimony generally rather than witness statements.</w:t>
      </w:r>
    </w:p>
  </w:footnote>
  <w:footnote w:id="92">
    <w:p w14:paraId="2F317DC5" w14:textId="55DDB974" w:rsidR="00E17EC8" w:rsidRDefault="00E17EC8" w:rsidP="00810903">
      <w:pPr>
        <w:spacing w:line="240" w:lineRule="auto"/>
        <w:rPr>
          <w:sz w:val="20"/>
          <w:szCs w:val="20"/>
        </w:rPr>
      </w:pPr>
      <w:r>
        <w:rPr>
          <w:vertAlign w:val="superscript"/>
        </w:rPr>
        <w:footnoteRef/>
      </w:r>
      <w:r>
        <w:rPr>
          <w:sz w:val="20"/>
          <w:szCs w:val="20"/>
        </w:rPr>
        <w:t xml:space="preserve"> </w:t>
      </w:r>
      <w:proofErr w:type="spellStart"/>
      <w:r w:rsidRPr="00775128">
        <w:rPr>
          <w:i/>
          <w:iCs/>
          <w:sz w:val="20"/>
          <w:szCs w:val="20"/>
        </w:rPr>
        <w:t>Chukwudi</w:t>
      </w:r>
      <w:proofErr w:type="spellEnd"/>
      <w:r>
        <w:rPr>
          <w:sz w:val="20"/>
          <w:szCs w:val="20"/>
        </w:rPr>
        <w:t xml:space="preserve">, </w:t>
      </w:r>
      <w:r w:rsidRPr="00775128">
        <w:rPr>
          <w:i/>
          <w:iCs/>
          <w:sz w:val="20"/>
          <w:szCs w:val="20"/>
        </w:rPr>
        <w:t>supra</w:t>
      </w:r>
      <w:r>
        <w:rPr>
          <w:sz w:val="20"/>
          <w:szCs w:val="20"/>
        </w:rPr>
        <w:t xml:space="preserve"> n </w:t>
      </w:r>
      <w:r w:rsidR="00624629">
        <w:rPr>
          <w:sz w:val="20"/>
          <w:szCs w:val="20"/>
        </w:rPr>
        <w:t>86</w:t>
      </w:r>
      <w:r>
        <w:rPr>
          <w:sz w:val="20"/>
          <w:szCs w:val="20"/>
        </w:rPr>
        <w:t xml:space="preserve"> at [52].</w:t>
      </w:r>
    </w:p>
  </w:footnote>
  <w:footnote w:id="93">
    <w:p w14:paraId="18B2B9CC" w14:textId="77777777" w:rsidR="00E17EC8" w:rsidRDefault="00E17EC8" w:rsidP="00810903">
      <w:pPr>
        <w:spacing w:line="240" w:lineRule="auto"/>
        <w:rPr>
          <w:sz w:val="20"/>
          <w:szCs w:val="20"/>
        </w:rPr>
      </w:pPr>
      <w:r>
        <w:rPr>
          <w:vertAlign w:val="superscript"/>
        </w:rPr>
        <w:footnoteRef/>
      </w:r>
      <w:r>
        <w:rPr>
          <w:sz w:val="20"/>
          <w:szCs w:val="20"/>
        </w:rPr>
        <w:t xml:space="preserve"> </w:t>
      </w:r>
      <w:r w:rsidRPr="00775128">
        <w:rPr>
          <w:i/>
          <w:iCs/>
          <w:sz w:val="20"/>
          <w:szCs w:val="20"/>
        </w:rPr>
        <w:t>Id</w:t>
      </w:r>
      <w:r>
        <w:rPr>
          <w:sz w:val="20"/>
          <w:szCs w:val="20"/>
        </w:rPr>
        <w:t>, at [60].</w:t>
      </w:r>
    </w:p>
  </w:footnote>
  <w:footnote w:id="94">
    <w:p w14:paraId="09502684" w14:textId="251995EB" w:rsidR="00A769AD" w:rsidRPr="00A769AD" w:rsidRDefault="00A769AD" w:rsidP="00CA19CB">
      <w:pPr>
        <w:pStyle w:val="FootnoteText"/>
        <w:spacing w:line="240" w:lineRule="auto"/>
        <w:rPr>
          <w:lang w:val="en-US"/>
        </w:rPr>
      </w:pPr>
      <w:r>
        <w:rPr>
          <w:rStyle w:val="FootnoteReference"/>
        </w:rPr>
        <w:footnoteRef/>
      </w:r>
      <w:r>
        <w:t xml:space="preserve"> </w:t>
      </w:r>
      <w:r w:rsidR="00DA66D9">
        <w:rPr>
          <w:i/>
          <w:iCs/>
          <w:lang w:val="en-US"/>
        </w:rPr>
        <w:t>Id</w:t>
      </w:r>
      <w:r>
        <w:rPr>
          <w:lang w:val="en-US"/>
        </w:rPr>
        <w:t xml:space="preserve">, </w:t>
      </w:r>
      <w:r w:rsidR="00287F5A">
        <w:rPr>
          <w:lang w:val="en-US"/>
        </w:rPr>
        <w:t xml:space="preserve">at </w:t>
      </w:r>
      <w:r>
        <w:rPr>
          <w:lang w:val="en-US"/>
        </w:rPr>
        <w:t>[60]-[65].</w:t>
      </w:r>
    </w:p>
  </w:footnote>
  <w:footnote w:id="95">
    <w:p w14:paraId="1B8E88AD" w14:textId="77777777" w:rsidR="00E17EC8" w:rsidRDefault="00E17EC8" w:rsidP="00CA19CB">
      <w:pPr>
        <w:spacing w:line="240" w:lineRule="auto"/>
        <w:rPr>
          <w:sz w:val="20"/>
          <w:szCs w:val="20"/>
        </w:rPr>
      </w:pPr>
      <w:r>
        <w:rPr>
          <w:vertAlign w:val="superscript"/>
        </w:rPr>
        <w:footnoteRef/>
      </w:r>
      <w:r>
        <w:rPr>
          <w:sz w:val="20"/>
          <w:szCs w:val="20"/>
        </w:rPr>
        <w:t xml:space="preserve"> CPC, s 261.</w:t>
      </w:r>
    </w:p>
  </w:footnote>
  <w:footnote w:id="96">
    <w:p w14:paraId="461E05DA" w14:textId="15955F1E" w:rsidR="00E17EC8" w:rsidRDefault="00E17EC8" w:rsidP="00810903">
      <w:pPr>
        <w:spacing w:line="240" w:lineRule="auto"/>
        <w:rPr>
          <w:sz w:val="20"/>
          <w:szCs w:val="20"/>
        </w:rPr>
      </w:pPr>
      <w:r>
        <w:rPr>
          <w:vertAlign w:val="superscript"/>
        </w:rPr>
        <w:footnoteRef/>
      </w:r>
      <w:r>
        <w:rPr>
          <w:sz w:val="20"/>
          <w:szCs w:val="20"/>
        </w:rPr>
        <w:t xml:space="preserve"> </w:t>
      </w:r>
      <w:proofErr w:type="spellStart"/>
      <w:r w:rsidRPr="00DA3B9E">
        <w:rPr>
          <w:i/>
          <w:iCs/>
          <w:sz w:val="20"/>
          <w:szCs w:val="20"/>
        </w:rPr>
        <w:t>Chukwudi</w:t>
      </w:r>
      <w:proofErr w:type="spellEnd"/>
      <w:r>
        <w:rPr>
          <w:sz w:val="20"/>
          <w:szCs w:val="20"/>
        </w:rPr>
        <w:t xml:space="preserve">, </w:t>
      </w:r>
      <w:r w:rsidRPr="00DA3B9E">
        <w:rPr>
          <w:i/>
          <w:iCs/>
          <w:sz w:val="20"/>
          <w:szCs w:val="20"/>
        </w:rPr>
        <w:t>supra</w:t>
      </w:r>
      <w:r>
        <w:rPr>
          <w:sz w:val="20"/>
          <w:szCs w:val="20"/>
        </w:rPr>
        <w:t xml:space="preserve"> n </w:t>
      </w:r>
      <w:r w:rsidR="00624629">
        <w:rPr>
          <w:sz w:val="20"/>
          <w:szCs w:val="20"/>
        </w:rPr>
        <w:t>86</w:t>
      </w:r>
      <w:r>
        <w:rPr>
          <w:sz w:val="20"/>
          <w:szCs w:val="20"/>
        </w:rPr>
        <w:t>, at [57].</w:t>
      </w:r>
    </w:p>
  </w:footnote>
  <w:footnote w:id="97">
    <w:p w14:paraId="08D34E18" w14:textId="77777777" w:rsidR="00E17EC8" w:rsidRDefault="00E17EC8" w:rsidP="00810903">
      <w:pPr>
        <w:spacing w:line="240" w:lineRule="auto"/>
        <w:rPr>
          <w:sz w:val="20"/>
          <w:szCs w:val="20"/>
        </w:rPr>
      </w:pPr>
      <w:r>
        <w:rPr>
          <w:vertAlign w:val="superscript"/>
        </w:rPr>
        <w:footnoteRef/>
      </w:r>
      <w:r>
        <w:rPr>
          <w:sz w:val="20"/>
          <w:szCs w:val="20"/>
        </w:rPr>
        <w:t xml:space="preserve"> CPC, s 261.</w:t>
      </w:r>
    </w:p>
  </w:footnote>
  <w:footnote w:id="98">
    <w:p w14:paraId="2D67B6A7" w14:textId="1E6EBD2B" w:rsidR="00E17EC8" w:rsidRDefault="00E17EC8" w:rsidP="00810903">
      <w:pPr>
        <w:spacing w:line="240" w:lineRule="auto"/>
        <w:rPr>
          <w:sz w:val="20"/>
          <w:szCs w:val="20"/>
        </w:rPr>
      </w:pPr>
      <w:r>
        <w:rPr>
          <w:vertAlign w:val="superscript"/>
        </w:rPr>
        <w:footnoteRef/>
      </w:r>
      <w:r>
        <w:rPr>
          <w:sz w:val="20"/>
          <w:szCs w:val="20"/>
        </w:rPr>
        <w:t xml:space="preserve"> </w:t>
      </w:r>
      <w:r w:rsidRPr="00795CC5">
        <w:rPr>
          <w:sz w:val="20"/>
        </w:rPr>
        <w:t>Leo and Chen</w:t>
      </w:r>
      <w:r>
        <w:rPr>
          <w:sz w:val="20"/>
          <w:szCs w:val="20"/>
        </w:rPr>
        <w:t xml:space="preserve">, </w:t>
      </w:r>
      <w:r w:rsidRPr="00DA3B9E">
        <w:rPr>
          <w:i/>
          <w:iCs/>
          <w:sz w:val="20"/>
          <w:szCs w:val="20"/>
        </w:rPr>
        <w:t>supra</w:t>
      </w:r>
      <w:r>
        <w:rPr>
          <w:sz w:val="20"/>
          <w:szCs w:val="20"/>
        </w:rPr>
        <w:t xml:space="preserve"> n </w:t>
      </w:r>
      <w:r w:rsidR="00D3300C">
        <w:rPr>
          <w:sz w:val="20"/>
          <w:szCs w:val="20"/>
        </w:rPr>
        <w:t>9</w:t>
      </w:r>
      <w:r>
        <w:rPr>
          <w:sz w:val="20"/>
          <w:szCs w:val="20"/>
        </w:rPr>
        <w:t xml:space="preserve">, at p 544, citing </w:t>
      </w:r>
      <w:r w:rsidRPr="00DA3B9E">
        <w:rPr>
          <w:i/>
          <w:iCs/>
          <w:sz w:val="20"/>
          <w:szCs w:val="20"/>
        </w:rPr>
        <w:t>Goh Choon Meng v PP</w:t>
      </w:r>
      <w:r>
        <w:rPr>
          <w:sz w:val="20"/>
          <w:szCs w:val="20"/>
        </w:rPr>
        <w:t xml:space="preserve"> [1999] SGCA 46 at [26</w:t>
      </w:r>
      <w:r w:rsidR="00EF55A7">
        <w:rPr>
          <w:sz w:val="20"/>
          <w:szCs w:val="20"/>
        </w:rPr>
        <w:t>]</w:t>
      </w:r>
      <w:r>
        <w:rPr>
          <w:sz w:val="20"/>
          <w:szCs w:val="20"/>
        </w:rPr>
        <w:t>.</w:t>
      </w:r>
    </w:p>
  </w:footnote>
  <w:footnote w:id="99">
    <w:p w14:paraId="7ED6E687" w14:textId="2B25E667" w:rsidR="00E17EC8" w:rsidRDefault="00E17EC8" w:rsidP="00810903">
      <w:pPr>
        <w:spacing w:line="240" w:lineRule="auto"/>
        <w:rPr>
          <w:sz w:val="20"/>
          <w:szCs w:val="20"/>
        </w:rPr>
      </w:pPr>
      <w:r>
        <w:rPr>
          <w:vertAlign w:val="superscript"/>
        </w:rPr>
        <w:footnoteRef/>
      </w:r>
      <w:r>
        <w:rPr>
          <w:sz w:val="20"/>
          <w:szCs w:val="20"/>
        </w:rPr>
        <w:t xml:space="preserve"> </w:t>
      </w:r>
      <w:r w:rsidR="006E1571" w:rsidRPr="001529CE">
        <w:rPr>
          <w:i/>
          <w:iCs/>
          <w:sz w:val="20"/>
          <w:szCs w:val="20"/>
        </w:rPr>
        <w:t>I</w:t>
      </w:r>
      <w:r w:rsidRPr="001529CE">
        <w:rPr>
          <w:i/>
          <w:iCs/>
          <w:sz w:val="20"/>
          <w:szCs w:val="20"/>
        </w:rPr>
        <w:t>bid</w:t>
      </w:r>
      <w:r>
        <w:rPr>
          <w:sz w:val="20"/>
          <w:szCs w:val="20"/>
        </w:rPr>
        <w:t xml:space="preserve">, citing </w:t>
      </w:r>
      <w:proofErr w:type="spellStart"/>
      <w:r w:rsidRPr="00DA3B9E">
        <w:rPr>
          <w:i/>
          <w:iCs/>
          <w:sz w:val="20"/>
          <w:szCs w:val="20"/>
        </w:rPr>
        <w:t>Kwek</w:t>
      </w:r>
      <w:proofErr w:type="spellEnd"/>
      <w:r w:rsidRPr="00DA3B9E">
        <w:rPr>
          <w:i/>
          <w:iCs/>
          <w:sz w:val="20"/>
          <w:szCs w:val="20"/>
        </w:rPr>
        <w:t xml:space="preserve"> </w:t>
      </w:r>
      <w:proofErr w:type="spellStart"/>
      <w:r w:rsidRPr="00DA3B9E">
        <w:rPr>
          <w:i/>
          <w:iCs/>
          <w:sz w:val="20"/>
          <w:szCs w:val="20"/>
        </w:rPr>
        <w:t>Seow</w:t>
      </w:r>
      <w:proofErr w:type="spellEnd"/>
      <w:r w:rsidRPr="00DA3B9E">
        <w:rPr>
          <w:i/>
          <w:iCs/>
          <w:sz w:val="20"/>
          <w:szCs w:val="20"/>
        </w:rPr>
        <w:t xml:space="preserve"> Hock v PP</w:t>
      </w:r>
      <w:r>
        <w:rPr>
          <w:sz w:val="20"/>
          <w:szCs w:val="20"/>
        </w:rPr>
        <w:t xml:space="preserve"> [2011] 3 SLR 157 (CA) at [18]-[19].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2847" w14:textId="77777777" w:rsidR="00EA6A34" w:rsidRDefault="00EA6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2DA"/>
    <w:multiLevelType w:val="hybridMultilevel"/>
    <w:tmpl w:val="5C602B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87B26"/>
    <w:multiLevelType w:val="multilevel"/>
    <w:tmpl w:val="50C61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4F1313"/>
    <w:multiLevelType w:val="hybridMultilevel"/>
    <w:tmpl w:val="793EC6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A13D3"/>
    <w:multiLevelType w:val="hybridMultilevel"/>
    <w:tmpl w:val="CB3AEB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4580D"/>
    <w:multiLevelType w:val="multilevel"/>
    <w:tmpl w:val="A190A90E"/>
    <w:styleLink w:val="SAL"/>
    <w:lvl w:ilvl="0">
      <w:start w:val="1"/>
      <w:numFmt w:val="upperRoman"/>
      <w:lvlText w:val="%1."/>
      <w:lvlJc w:val="left"/>
      <w:pPr>
        <w:ind w:left="720" w:hanging="720"/>
      </w:pPr>
      <w:rPr>
        <w:rFonts w:hint="default"/>
        <w:b/>
      </w:rPr>
    </w:lvl>
    <w:lvl w:ilvl="1">
      <w:start w:val="1"/>
      <w:numFmt w:val="decimal"/>
      <w:lvlText w:val="%2"/>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3412AFD"/>
    <w:multiLevelType w:val="hybridMultilevel"/>
    <w:tmpl w:val="F47837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C23685"/>
    <w:multiLevelType w:val="multilevel"/>
    <w:tmpl w:val="1F0EC52A"/>
    <w:lvl w:ilvl="0">
      <w:start w:val="1"/>
      <w:numFmt w:val="decimal"/>
      <w:pStyle w:val="NoSpacing"/>
      <w:lvlText w:val="%1"/>
      <w:lvlJc w:val="left"/>
      <w:pPr>
        <w:ind w:left="720" w:hanging="720"/>
      </w:pPr>
      <w:rPr>
        <w:rFonts w:ascii="Times New Roman" w:hAnsi="Times New Roman" w:hint="default"/>
        <w:b w:val="0"/>
        <w:i w:val="0"/>
        <w:sz w:val="24"/>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upperRoman"/>
      <w:lvlText w:val="(%5)"/>
      <w:lvlJc w:val="left"/>
      <w:pPr>
        <w:ind w:left="3600" w:hanging="663"/>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6FB75AF"/>
    <w:multiLevelType w:val="multilevel"/>
    <w:tmpl w:val="0622B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A917946"/>
    <w:multiLevelType w:val="hybridMultilevel"/>
    <w:tmpl w:val="98545114"/>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9" w15:restartNumberingAfterBreak="0">
    <w:nsid w:val="3B4A37A5"/>
    <w:multiLevelType w:val="hybridMultilevel"/>
    <w:tmpl w:val="DF2E99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756931"/>
    <w:multiLevelType w:val="hybridMultilevel"/>
    <w:tmpl w:val="1C58BBB4"/>
    <w:lvl w:ilvl="0" w:tplc="42EE0F4C">
      <w:start w:val="1"/>
      <w:numFmt w:val="lowerLetter"/>
      <w:lvlText w:val="(%1)"/>
      <w:lvlJc w:val="left"/>
      <w:pPr>
        <w:ind w:left="360" w:firstLine="360"/>
      </w:pPr>
      <w:rPr>
        <w:rFonts w:ascii="Times New Roman" w:hAnsi="Times New Roman" w:hint="default"/>
        <w:b w:val="0"/>
        <w:i w:val="0"/>
        <w:sz w:val="24"/>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556E244B"/>
    <w:multiLevelType w:val="hybridMultilevel"/>
    <w:tmpl w:val="7CA2DB36"/>
    <w:lvl w:ilvl="0" w:tplc="8F345116">
      <w:start w:val="1"/>
      <w:numFmt w:val="lowerLetter"/>
      <w:pStyle w:val="Heading4"/>
      <w:lvlText w:val="(%1)"/>
      <w:lvlJc w:val="left"/>
      <w:pPr>
        <w:ind w:left="720" w:hanging="720"/>
      </w:pPr>
      <w:rPr>
        <w:rFonts w:ascii="Times New Roman" w:hAnsi="Times New Roman" w:hint="default"/>
        <w:b w:val="0"/>
        <w:i w:val="0"/>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F3534CA"/>
    <w:multiLevelType w:val="hybridMultilevel"/>
    <w:tmpl w:val="E378195E"/>
    <w:lvl w:ilvl="0" w:tplc="839A1510">
      <w:start w:val="1"/>
      <w:numFmt w:val="upperLetter"/>
      <w:pStyle w:val="Heading2"/>
      <w:lvlText w:val="%1."/>
      <w:lvlJc w:val="left"/>
      <w:pPr>
        <w:ind w:left="720" w:hanging="720"/>
      </w:pPr>
      <w:rPr>
        <w:rFonts w:ascii="Times New Roman" w:hAnsi="Times New Roman" w:hint="default"/>
        <w:b/>
        <w:i/>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1B24124"/>
    <w:multiLevelType w:val="hybridMultilevel"/>
    <w:tmpl w:val="697088DE"/>
    <w:lvl w:ilvl="0" w:tplc="6434A8DA">
      <w:start w:val="1"/>
      <w:numFmt w:val="lowerRoman"/>
      <w:pStyle w:val="Heading5"/>
      <w:lvlText w:val="(%1)"/>
      <w:lvlJc w:val="left"/>
      <w:pPr>
        <w:ind w:left="72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3824225"/>
    <w:multiLevelType w:val="hybridMultilevel"/>
    <w:tmpl w:val="8CECB1F4"/>
    <w:lvl w:ilvl="0" w:tplc="76B44060">
      <w:start w:val="1"/>
      <w:numFmt w:val="upperRoman"/>
      <w:pStyle w:val="Heading1"/>
      <w:lvlText w:val="%1."/>
      <w:lvlJc w:val="left"/>
      <w:pPr>
        <w:ind w:left="720" w:hanging="720"/>
      </w:pPr>
      <w:rPr>
        <w:rFonts w:ascii="Times New Roman" w:hAnsi="Times New Roman" w:hint="default"/>
        <w:b/>
        <w:i w:val="0"/>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B7B0AD7"/>
    <w:multiLevelType w:val="hybridMultilevel"/>
    <w:tmpl w:val="8BB89304"/>
    <w:lvl w:ilvl="0" w:tplc="0742E88A">
      <w:start w:val="1"/>
      <w:numFmt w:val="decimal"/>
      <w:pStyle w:val="Heading3"/>
      <w:lvlText w:val="(%1)"/>
      <w:lvlJc w:val="left"/>
      <w:pPr>
        <w:ind w:left="720" w:hanging="720"/>
      </w:pPr>
      <w:rPr>
        <w:rFonts w:ascii="Times New Roman" w:hAnsi="Times New Roman" w:hint="default"/>
        <w:b w:val="0"/>
        <w:i/>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C832998"/>
    <w:multiLevelType w:val="hybridMultilevel"/>
    <w:tmpl w:val="751AF054"/>
    <w:lvl w:ilvl="0" w:tplc="6276AA86">
      <w:start w:val="1"/>
      <w:numFmt w:val="upperRoman"/>
      <w:lvlText w:val="%1."/>
      <w:lvlJc w:val="right"/>
      <w:pPr>
        <w:ind w:left="72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4"/>
  </w:num>
  <w:num w:numId="3">
    <w:abstractNumId w:val="6"/>
  </w:num>
  <w:num w:numId="4">
    <w:abstractNumId w:val="16"/>
  </w:num>
  <w:num w:numId="5">
    <w:abstractNumId w:val="14"/>
  </w:num>
  <w:num w:numId="6">
    <w:abstractNumId w:val="12"/>
  </w:num>
  <w:num w:numId="7">
    <w:abstractNumId w:val="15"/>
  </w:num>
  <w:num w:numId="8">
    <w:abstractNumId w:val="8"/>
  </w:num>
  <w:num w:numId="9">
    <w:abstractNumId w:val="11"/>
  </w:num>
  <w:num w:numId="10">
    <w:abstractNumId w:val="10"/>
  </w:num>
  <w:num w:numId="11">
    <w:abstractNumId w:val="13"/>
  </w:num>
  <w:num w:numId="12">
    <w:abstractNumId w:val="15"/>
    <w:lvlOverride w:ilvl="0">
      <w:startOverride w:val="1"/>
    </w:lvlOverride>
  </w:num>
  <w:num w:numId="13">
    <w:abstractNumId w:val="12"/>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4"/>
  </w:num>
  <w:num w:numId="17">
    <w:abstractNumId w:val="12"/>
  </w:num>
  <w:num w:numId="18">
    <w:abstractNumId w:val="15"/>
  </w:num>
  <w:num w:numId="19">
    <w:abstractNumId w:val="11"/>
  </w:num>
  <w:num w:numId="20">
    <w:abstractNumId w:val="13"/>
  </w:num>
  <w:num w:numId="21">
    <w:abstractNumId w:val="6"/>
  </w:num>
  <w:num w:numId="22">
    <w:abstractNumId w:val="14"/>
  </w:num>
  <w:num w:numId="23">
    <w:abstractNumId w:val="14"/>
  </w:num>
  <w:num w:numId="24">
    <w:abstractNumId w:val="12"/>
  </w:num>
  <w:num w:numId="25">
    <w:abstractNumId w:val="15"/>
  </w:num>
  <w:num w:numId="26">
    <w:abstractNumId w:val="11"/>
  </w:num>
  <w:num w:numId="27">
    <w:abstractNumId w:val="13"/>
  </w:num>
  <w:num w:numId="28">
    <w:abstractNumId w:val="6"/>
  </w:num>
  <w:num w:numId="29">
    <w:abstractNumId w:val="14"/>
  </w:num>
  <w:num w:numId="30">
    <w:abstractNumId w:val="6"/>
  </w:num>
  <w:num w:numId="31">
    <w:abstractNumId w:val="1"/>
  </w:num>
  <w:num w:numId="32">
    <w:abstractNumId w:val="7"/>
  </w:num>
  <w:num w:numId="33">
    <w:abstractNumId w:val="12"/>
    <w:lvlOverride w:ilvl="0">
      <w:startOverride w:val="1"/>
    </w:lvlOverride>
  </w:num>
  <w:num w:numId="34">
    <w:abstractNumId w:val="0"/>
  </w:num>
  <w:num w:numId="35">
    <w:abstractNumId w:val="2"/>
  </w:num>
  <w:num w:numId="36">
    <w:abstractNumId w:val="3"/>
  </w:num>
  <w:num w:numId="37">
    <w:abstractNumId w:val="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C8"/>
    <w:rsid w:val="00000A82"/>
    <w:rsid w:val="000035E3"/>
    <w:rsid w:val="000041B8"/>
    <w:rsid w:val="00004769"/>
    <w:rsid w:val="000058AE"/>
    <w:rsid w:val="00005EEF"/>
    <w:rsid w:val="000066F9"/>
    <w:rsid w:val="00006BA8"/>
    <w:rsid w:val="00007133"/>
    <w:rsid w:val="000101D9"/>
    <w:rsid w:val="00010B41"/>
    <w:rsid w:val="0001143C"/>
    <w:rsid w:val="00011A10"/>
    <w:rsid w:val="00012509"/>
    <w:rsid w:val="000152AF"/>
    <w:rsid w:val="000154E9"/>
    <w:rsid w:val="00015F90"/>
    <w:rsid w:val="0002026F"/>
    <w:rsid w:val="000216AA"/>
    <w:rsid w:val="00021825"/>
    <w:rsid w:val="0002191B"/>
    <w:rsid w:val="0002284C"/>
    <w:rsid w:val="000228C9"/>
    <w:rsid w:val="00023613"/>
    <w:rsid w:val="0002468E"/>
    <w:rsid w:val="00025F11"/>
    <w:rsid w:val="00027D3F"/>
    <w:rsid w:val="000333F6"/>
    <w:rsid w:val="00033EF1"/>
    <w:rsid w:val="00033F27"/>
    <w:rsid w:val="00037551"/>
    <w:rsid w:val="00037BD4"/>
    <w:rsid w:val="00040228"/>
    <w:rsid w:val="000403B4"/>
    <w:rsid w:val="000428E3"/>
    <w:rsid w:val="000429A4"/>
    <w:rsid w:val="00043A7A"/>
    <w:rsid w:val="00044A43"/>
    <w:rsid w:val="000453C8"/>
    <w:rsid w:val="00050687"/>
    <w:rsid w:val="00050F5B"/>
    <w:rsid w:val="00053084"/>
    <w:rsid w:val="0005479F"/>
    <w:rsid w:val="000549BE"/>
    <w:rsid w:val="000569C3"/>
    <w:rsid w:val="00057DE9"/>
    <w:rsid w:val="0006057F"/>
    <w:rsid w:val="0006187D"/>
    <w:rsid w:val="00061880"/>
    <w:rsid w:val="000628D1"/>
    <w:rsid w:val="00063CB8"/>
    <w:rsid w:val="000645F3"/>
    <w:rsid w:val="00064A7A"/>
    <w:rsid w:val="00066038"/>
    <w:rsid w:val="00067923"/>
    <w:rsid w:val="00073875"/>
    <w:rsid w:val="000748E6"/>
    <w:rsid w:val="00075F94"/>
    <w:rsid w:val="00076BF7"/>
    <w:rsid w:val="00080D40"/>
    <w:rsid w:val="000817CE"/>
    <w:rsid w:val="00081BDA"/>
    <w:rsid w:val="00081C1F"/>
    <w:rsid w:val="00084F65"/>
    <w:rsid w:val="00087422"/>
    <w:rsid w:val="00091B94"/>
    <w:rsid w:val="00092470"/>
    <w:rsid w:val="000937DA"/>
    <w:rsid w:val="000942E7"/>
    <w:rsid w:val="000951C2"/>
    <w:rsid w:val="0009634E"/>
    <w:rsid w:val="00096BFE"/>
    <w:rsid w:val="000A153C"/>
    <w:rsid w:val="000A21B2"/>
    <w:rsid w:val="000A221A"/>
    <w:rsid w:val="000A385D"/>
    <w:rsid w:val="000A4042"/>
    <w:rsid w:val="000A5399"/>
    <w:rsid w:val="000A78F4"/>
    <w:rsid w:val="000B09E3"/>
    <w:rsid w:val="000B0BFC"/>
    <w:rsid w:val="000B0CF5"/>
    <w:rsid w:val="000B0F56"/>
    <w:rsid w:val="000B1BAA"/>
    <w:rsid w:val="000B2952"/>
    <w:rsid w:val="000B4470"/>
    <w:rsid w:val="000B4F60"/>
    <w:rsid w:val="000B5E43"/>
    <w:rsid w:val="000B79A8"/>
    <w:rsid w:val="000C1CD6"/>
    <w:rsid w:val="000C232D"/>
    <w:rsid w:val="000C2492"/>
    <w:rsid w:val="000C28FD"/>
    <w:rsid w:val="000C38CD"/>
    <w:rsid w:val="000C4523"/>
    <w:rsid w:val="000C4903"/>
    <w:rsid w:val="000C5D34"/>
    <w:rsid w:val="000C6589"/>
    <w:rsid w:val="000C6872"/>
    <w:rsid w:val="000D0B5B"/>
    <w:rsid w:val="000D1707"/>
    <w:rsid w:val="000D2B3A"/>
    <w:rsid w:val="000D339F"/>
    <w:rsid w:val="000D3845"/>
    <w:rsid w:val="000D46D0"/>
    <w:rsid w:val="000D46DB"/>
    <w:rsid w:val="000D5652"/>
    <w:rsid w:val="000D77CC"/>
    <w:rsid w:val="000E085F"/>
    <w:rsid w:val="000E0AC2"/>
    <w:rsid w:val="000E0BA0"/>
    <w:rsid w:val="000E4C5E"/>
    <w:rsid w:val="000E5EF6"/>
    <w:rsid w:val="000E7838"/>
    <w:rsid w:val="000F0034"/>
    <w:rsid w:val="000F1BC4"/>
    <w:rsid w:val="000F2B1A"/>
    <w:rsid w:val="000F3970"/>
    <w:rsid w:val="00101983"/>
    <w:rsid w:val="00101C15"/>
    <w:rsid w:val="001061AF"/>
    <w:rsid w:val="00106B10"/>
    <w:rsid w:val="00106E08"/>
    <w:rsid w:val="00106EE4"/>
    <w:rsid w:val="001071F5"/>
    <w:rsid w:val="00113803"/>
    <w:rsid w:val="00114DAC"/>
    <w:rsid w:val="00115CAF"/>
    <w:rsid w:val="001164CC"/>
    <w:rsid w:val="00117F1C"/>
    <w:rsid w:val="001225E5"/>
    <w:rsid w:val="001255E1"/>
    <w:rsid w:val="00125FB4"/>
    <w:rsid w:val="00132903"/>
    <w:rsid w:val="00135060"/>
    <w:rsid w:val="001365A8"/>
    <w:rsid w:val="00136654"/>
    <w:rsid w:val="00137AB8"/>
    <w:rsid w:val="00137B74"/>
    <w:rsid w:val="00137C79"/>
    <w:rsid w:val="00137FD5"/>
    <w:rsid w:val="00141A3A"/>
    <w:rsid w:val="00141CB7"/>
    <w:rsid w:val="00144049"/>
    <w:rsid w:val="001465B5"/>
    <w:rsid w:val="00151785"/>
    <w:rsid w:val="001522A8"/>
    <w:rsid w:val="001529CE"/>
    <w:rsid w:val="00154481"/>
    <w:rsid w:val="00162C2E"/>
    <w:rsid w:val="00162FD4"/>
    <w:rsid w:val="00163125"/>
    <w:rsid w:val="00163848"/>
    <w:rsid w:val="00163D29"/>
    <w:rsid w:val="0016429F"/>
    <w:rsid w:val="00164B12"/>
    <w:rsid w:val="001658D5"/>
    <w:rsid w:val="00165ACD"/>
    <w:rsid w:val="001664DA"/>
    <w:rsid w:val="001717DC"/>
    <w:rsid w:val="00171F07"/>
    <w:rsid w:val="00173915"/>
    <w:rsid w:val="00174272"/>
    <w:rsid w:val="001759EF"/>
    <w:rsid w:val="00175D73"/>
    <w:rsid w:val="00180036"/>
    <w:rsid w:val="00182672"/>
    <w:rsid w:val="00182843"/>
    <w:rsid w:val="00185E38"/>
    <w:rsid w:val="00186198"/>
    <w:rsid w:val="001869EA"/>
    <w:rsid w:val="001879BD"/>
    <w:rsid w:val="00187D28"/>
    <w:rsid w:val="00190697"/>
    <w:rsid w:val="00191820"/>
    <w:rsid w:val="001955A3"/>
    <w:rsid w:val="00196AEC"/>
    <w:rsid w:val="00196B41"/>
    <w:rsid w:val="001A2737"/>
    <w:rsid w:val="001A3406"/>
    <w:rsid w:val="001A494F"/>
    <w:rsid w:val="001A505B"/>
    <w:rsid w:val="001A682A"/>
    <w:rsid w:val="001A6B81"/>
    <w:rsid w:val="001B0BCA"/>
    <w:rsid w:val="001B2453"/>
    <w:rsid w:val="001B2BF1"/>
    <w:rsid w:val="001B3338"/>
    <w:rsid w:val="001B3498"/>
    <w:rsid w:val="001B4754"/>
    <w:rsid w:val="001B62F0"/>
    <w:rsid w:val="001B78C2"/>
    <w:rsid w:val="001B7C67"/>
    <w:rsid w:val="001C116D"/>
    <w:rsid w:val="001C20B3"/>
    <w:rsid w:val="001C4051"/>
    <w:rsid w:val="001C6577"/>
    <w:rsid w:val="001D1388"/>
    <w:rsid w:val="001D49D0"/>
    <w:rsid w:val="001D6B96"/>
    <w:rsid w:val="001D6C75"/>
    <w:rsid w:val="001D7326"/>
    <w:rsid w:val="001E006E"/>
    <w:rsid w:val="001E1CE1"/>
    <w:rsid w:val="001E4901"/>
    <w:rsid w:val="001E7F8E"/>
    <w:rsid w:val="001F0766"/>
    <w:rsid w:val="001F08DD"/>
    <w:rsid w:val="001F174F"/>
    <w:rsid w:val="001F241B"/>
    <w:rsid w:val="001F2F5F"/>
    <w:rsid w:val="001F3BC0"/>
    <w:rsid w:val="001F6611"/>
    <w:rsid w:val="001F6E73"/>
    <w:rsid w:val="002001E0"/>
    <w:rsid w:val="00200734"/>
    <w:rsid w:val="002016DB"/>
    <w:rsid w:val="002028F8"/>
    <w:rsid w:val="00202DAC"/>
    <w:rsid w:val="002034FA"/>
    <w:rsid w:val="00204E19"/>
    <w:rsid w:val="0020525B"/>
    <w:rsid w:val="002052A3"/>
    <w:rsid w:val="0020632A"/>
    <w:rsid w:val="002075A6"/>
    <w:rsid w:val="00211F82"/>
    <w:rsid w:val="00212DF2"/>
    <w:rsid w:val="0021613B"/>
    <w:rsid w:val="0021733A"/>
    <w:rsid w:val="00217726"/>
    <w:rsid w:val="00220E45"/>
    <w:rsid w:val="00223633"/>
    <w:rsid w:val="00223DBA"/>
    <w:rsid w:val="00225A53"/>
    <w:rsid w:val="00226C9B"/>
    <w:rsid w:val="00230E7E"/>
    <w:rsid w:val="002324F8"/>
    <w:rsid w:val="00232867"/>
    <w:rsid w:val="00232D13"/>
    <w:rsid w:val="002338A4"/>
    <w:rsid w:val="002345D0"/>
    <w:rsid w:val="00236958"/>
    <w:rsid w:val="00237E2E"/>
    <w:rsid w:val="002402AD"/>
    <w:rsid w:val="00241352"/>
    <w:rsid w:val="00243746"/>
    <w:rsid w:val="002438FF"/>
    <w:rsid w:val="00243E99"/>
    <w:rsid w:val="002457BE"/>
    <w:rsid w:val="002468F4"/>
    <w:rsid w:val="0024717E"/>
    <w:rsid w:val="00251303"/>
    <w:rsid w:val="00251673"/>
    <w:rsid w:val="00252623"/>
    <w:rsid w:val="0025298D"/>
    <w:rsid w:val="00252FA9"/>
    <w:rsid w:val="00255A81"/>
    <w:rsid w:val="00260B67"/>
    <w:rsid w:val="00260ED6"/>
    <w:rsid w:val="0026357D"/>
    <w:rsid w:val="00263A2C"/>
    <w:rsid w:val="00264D8F"/>
    <w:rsid w:val="00265DBE"/>
    <w:rsid w:val="00266152"/>
    <w:rsid w:val="0026628E"/>
    <w:rsid w:val="002701C8"/>
    <w:rsid w:val="002722A9"/>
    <w:rsid w:val="002727CD"/>
    <w:rsid w:val="0027281C"/>
    <w:rsid w:val="0027285D"/>
    <w:rsid w:val="00272B12"/>
    <w:rsid w:val="00273A81"/>
    <w:rsid w:val="00274DD5"/>
    <w:rsid w:val="00275091"/>
    <w:rsid w:val="002751AB"/>
    <w:rsid w:val="0027525C"/>
    <w:rsid w:val="002752FF"/>
    <w:rsid w:val="00280FCA"/>
    <w:rsid w:val="0028127F"/>
    <w:rsid w:val="002813BB"/>
    <w:rsid w:val="00281E90"/>
    <w:rsid w:val="00282D9E"/>
    <w:rsid w:val="00285DDB"/>
    <w:rsid w:val="00287F5A"/>
    <w:rsid w:val="002919BF"/>
    <w:rsid w:val="0029227B"/>
    <w:rsid w:val="002942C8"/>
    <w:rsid w:val="00295015"/>
    <w:rsid w:val="00295103"/>
    <w:rsid w:val="0029552F"/>
    <w:rsid w:val="00296011"/>
    <w:rsid w:val="002971F0"/>
    <w:rsid w:val="002A0BBE"/>
    <w:rsid w:val="002A1BBA"/>
    <w:rsid w:val="002A2045"/>
    <w:rsid w:val="002B05F8"/>
    <w:rsid w:val="002B08B3"/>
    <w:rsid w:val="002B112B"/>
    <w:rsid w:val="002B1634"/>
    <w:rsid w:val="002B213E"/>
    <w:rsid w:val="002B293A"/>
    <w:rsid w:val="002B59C4"/>
    <w:rsid w:val="002B5DF7"/>
    <w:rsid w:val="002C0885"/>
    <w:rsid w:val="002C25F3"/>
    <w:rsid w:val="002C376F"/>
    <w:rsid w:val="002C3DE9"/>
    <w:rsid w:val="002C3FBD"/>
    <w:rsid w:val="002C47CF"/>
    <w:rsid w:val="002C5421"/>
    <w:rsid w:val="002C692F"/>
    <w:rsid w:val="002C6C1E"/>
    <w:rsid w:val="002D1E42"/>
    <w:rsid w:val="002D2125"/>
    <w:rsid w:val="002D2B0D"/>
    <w:rsid w:val="002D2FCC"/>
    <w:rsid w:val="002D58C4"/>
    <w:rsid w:val="002D5D9B"/>
    <w:rsid w:val="002E1396"/>
    <w:rsid w:val="002E37BF"/>
    <w:rsid w:val="002E4901"/>
    <w:rsid w:val="002E5266"/>
    <w:rsid w:val="002E55D0"/>
    <w:rsid w:val="002E7555"/>
    <w:rsid w:val="002E77AF"/>
    <w:rsid w:val="002F087C"/>
    <w:rsid w:val="002F092A"/>
    <w:rsid w:val="002F0F8D"/>
    <w:rsid w:val="002F31F0"/>
    <w:rsid w:val="002F4128"/>
    <w:rsid w:val="002F4DB1"/>
    <w:rsid w:val="002F5EE0"/>
    <w:rsid w:val="002F63E3"/>
    <w:rsid w:val="002F665A"/>
    <w:rsid w:val="002F6D97"/>
    <w:rsid w:val="002F7845"/>
    <w:rsid w:val="00304377"/>
    <w:rsid w:val="003055AA"/>
    <w:rsid w:val="00306963"/>
    <w:rsid w:val="00307041"/>
    <w:rsid w:val="00310EBD"/>
    <w:rsid w:val="00314D7B"/>
    <w:rsid w:val="00314F6E"/>
    <w:rsid w:val="00315A41"/>
    <w:rsid w:val="003204B3"/>
    <w:rsid w:val="003211FC"/>
    <w:rsid w:val="00322950"/>
    <w:rsid w:val="003236B2"/>
    <w:rsid w:val="00323849"/>
    <w:rsid w:val="00325749"/>
    <w:rsid w:val="00331537"/>
    <w:rsid w:val="00331D6E"/>
    <w:rsid w:val="003325F0"/>
    <w:rsid w:val="00332BF9"/>
    <w:rsid w:val="00333DC7"/>
    <w:rsid w:val="003340E6"/>
    <w:rsid w:val="0033430D"/>
    <w:rsid w:val="003373B5"/>
    <w:rsid w:val="00337F1E"/>
    <w:rsid w:val="00340877"/>
    <w:rsid w:val="00340A0F"/>
    <w:rsid w:val="00341327"/>
    <w:rsid w:val="00342E7D"/>
    <w:rsid w:val="00342FCD"/>
    <w:rsid w:val="003446C8"/>
    <w:rsid w:val="00345557"/>
    <w:rsid w:val="00347133"/>
    <w:rsid w:val="00347320"/>
    <w:rsid w:val="003505DD"/>
    <w:rsid w:val="00351DF2"/>
    <w:rsid w:val="00351EA8"/>
    <w:rsid w:val="0035244D"/>
    <w:rsid w:val="00355D62"/>
    <w:rsid w:val="003615CA"/>
    <w:rsid w:val="00361849"/>
    <w:rsid w:val="0036335A"/>
    <w:rsid w:val="00363B4D"/>
    <w:rsid w:val="00364DD1"/>
    <w:rsid w:val="00365B4F"/>
    <w:rsid w:val="0036630F"/>
    <w:rsid w:val="00366355"/>
    <w:rsid w:val="003717EB"/>
    <w:rsid w:val="00371BE6"/>
    <w:rsid w:val="0037209B"/>
    <w:rsid w:val="003728C2"/>
    <w:rsid w:val="003739EB"/>
    <w:rsid w:val="00374AEE"/>
    <w:rsid w:val="00374D49"/>
    <w:rsid w:val="003757FE"/>
    <w:rsid w:val="00376662"/>
    <w:rsid w:val="0037730F"/>
    <w:rsid w:val="00377426"/>
    <w:rsid w:val="003776D9"/>
    <w:rsid w:val="00377E85"/>
    <w:rsid w:val="00377F7F"/>
    <w:rsid w:val="00381235"/>
    <w:rsid w:val="0038140F"/>
    <w:rsid w:val="003830D2"/>
    <w:rsid w:val="0038449B"/>
    <w:rsid w:val="003848F3"/>
    <w:rsid w:val="003850B5"/>
    <w:rsid w:val="0038706F"/>
    <w:rsid w:val="00387589"/>
    <w:rsid w:val="003877B3"/>
    <w:rsid w:val="00391287"/>
    <w:rsid w:val="00392D90"/>
    <w:rsid w:val="00394EFF"/>
    <w:rsid w:val="003959B6"/>
    <w:rsid w:val="003972EF"/>
    <w:rsid w:val="00397ED1"/>
    <w:rsid w:val="003A0DFA"/>
    <w:rsid w:val="003A0EB8"/>
    <w:rsid w:val="003A2B20"/>
    <w:rsid w:val="003A2E77"/>
    <w:rsid w:val="003A4848"/>
    <w:rsid w:val="003A5145"/>
    <w:rsid w:val="003A5292"/>
    <w:rsid w:val="003A532E"/>
    <w:rsid w:val="003A552E"/>
    <w:rsid w:val="003A5774"/>
    <w:rsid w:val="003A6941"/>
    <w:rsid w:val="003A6FC0"/>
    <w:rsid w:val="003B00D3"/>
    <w:rsid w:val="003B0CA9"/>
    <w:rsid w:val="003B1405"/>
    <w:rsid w:val="003B1EF5"/>
    <w:rsid w:val="003B22CA"/>
    <w:rsid w:val="003B3A79"/>
    <w:rsid w:val="003B3F56"/>
    <w:rsid w:val="003B53D0"/>
    <w:rsid w:val="003B61C2"/>
    <w:rsid w:val="003B67E0"/>
    <w:rsid w:val="003B6D8D"/>
    <w:rsid w:val="003B7025"/>
    <w:rsid w:val="003B7DB4"/>
    <w:rsid w:val="003C0249"/>
    <w:rsid w:val="003C261E"/>
    <w:rsid w:val="003C2842"/>
    <w:rsid w:val="003C398D"/>
    <w:rsid w:val="003C45AB"/>
    <w:rsid w:val="003C5606"/>
    <w:rsid w:val="003D072A"/>
    <w:rsid w:val="003D1118"/>
    <w:rsid w:val="003D1E01"/>
    <w:rsid w:val="003D2124"/>
    <w:rsid w:val="003D55D2"/>
    <w:rsid w:val="003D670C"/>
    <w:rsid w:val="003D7502"/>
    <w:rsid w:val="003E0FF3"/>
    <w:rsid w:val="003E2B4C"/>
    <w:rsid w:val="003E3D07"/>
    <w:rsid w:val="003E629A"/>
    <w:rsid w:val="003E7CEC"/>
    <w:rsid w:val="003E7E50"/>
    <w:rsid w:val="003F2BF6"/>
    <w:rsid w:val="003F34A6"/>
    <w:rsid w:val="003F4385"/>
    <w:rsid w:val="003F510E"/>
    <w:rsid w:val="003F597D"/>
    <w:rsid w:val="003F625E"/>
    <w:rsid w:val="00400266"/>
    <w:rsid w:val="00400307"/>
    <w:rsid w:val="00401347"/>
    <w:rsid w:val="004016D2"/>
    <w:rsid w:val="00404138"/>
    <w:rsid w:val="004044B4"/>
    <w:rsid w:val="00405453"/>
    <w:rsid w:val="00405D10"/>
    <w:rsid w:val="0040694B"/>
    <w:rsid w:val="00407353"/>
    <w:rsid w:val="00407C17"/>
    <w:rsid w:val="0041113E"/>
    <w:rsid w:val="00411462"/>
    <w:rsid w:val="00411466"/>
    <w:rsid w:val="00412A3A"/>
    <w:rsid w:val="00412C08"/>
    <w:rsid w:val="00415134"/>
    <w:rsid w:val="00415B22"/>
    <w:rsid w:val="00415C08"/>
    <w:rsid w:val="00415C87"/>
    <w:rsid w:val="00421FD6"/>
    <w:rsid w:val="004226C7"/>
    <w:rsid w:val="00424B1B"/>
    <w:rsid w:val="00425070"/>
    <w:rsid w:val="00426452"/>
    <w:rsid w:val="0043094E"/>
    <w:rsid w:val="004336DB"/>
    <w:rsid w:val="004363BD"/>
    <w:rsid w:val="00436F3D"/>
    <w:rsid w:val="00440C0B"/>
    <w:rsid w:val="00441AF8"/>
    <w:rsid w:val="0044203E"/>
    <w:rsid w:val="004438AC"/>
    <w:rsid w:val="004443F6"/>
    <w:rsid w:val="00445E5E"/>
    <w:rsid w:val="00446001"/>
    <w:rsid w:val="00447391"/>
    <w:rsid w:val="00447904"/>
    <w:rsid w:val="00452104"/>
    <w:rsid w:val="00452A8F"/>
    <w:rsid w:val="00453228"/>
    <w:rsid w:val="0045322B"/>
    <w:rsid w:val="00453F06"/>
    <w:rsid w:val="004540E7"/>
    <w:rsid w:val="00455A65"/>
    <w:rsid w:val="00456FEE"/>
    <w:rsid w:val="00461FB8"/>
    <w:rsid w:val="00462690"/>
    <w:rsid w:val="0046424F"/>
    <w:rsid w:val="00480DBC"/>
    <w:rsid w:val="004827FA"/>
    <w:rsid w:val="00483025"/>
    <w:rsid w:val="0048311B"/>
    <w:rsid w:val="00484E97"/>
    <w:rsid w:val="00485383"/>
    <w:rsid w:val="004854FC"/>
    <w:rsid w:val="00485C8C"/>
    <w:rsid w:val="00491322"/>
    <w:rsid w:val="0049162A"/>
    <w:rsid w:val="004916E2"/>
    <w:rsid w:val="00491AF2"/>
    <w:rsid w:val="00493666"/>
    <w:rsid w:val="004942C6"/>
    <w:rsid w:val="00495800"/>
    <w:rsid w:val="00495F7B"/>
    <w:rsid w:val="00496776"/>
    <w:rsid w:val="004968EE"/>
    <w:rsid w:val="0049691A"/>
    <w:rsid w:val="00496A06"/>
    <w:rsid w:val="00497CE2"/>
    <w:rsid w:val="004A0B5C"/>
    <w:rsid w:val="004A0D0C"/>
    <w:rsid w:val="004A1F1C"/>
    <w:rsid w:val="004A2DE1"/>
    <w:rsid w:val="004A3C4C"/>
    <w:rsid w:val="004A4C2A"/>
    <w:rsid w:val="004A4E12"/>
    <w:rsid w:val="004A733B"/>
    <w:rsid w:val="004A77D7"/>
    <w:rsid w:val="004B09B1"/>
    <w:rsid w:val="004B0B5B"/>
    <w:rsid w:val="004B0CBC"/>
    <w:rsid w:val="004B2B6C"/>
    <w:rsid w:val="004B444C"/>
    <w:rsid w:val="004B48F0"/>
    <w:rsid w:val="004B5530"/>
    <w:rsid w:val="004B59A4"/>
    <w:rsid w:val="004B5A7C"/>
    <w:rsid w:val="004C152E"/>
    <w:rsid w:val="004C2202"/>
    <w:rsid w:val="004C27FA"/>
    <w:rsid w:val="004C373B"/>
    <w:rsid w:val="004C3B12"/>
    <w:rsid w:val="004C5B66"/>
    <w:rsid w:val="004C62C4"/>
    <w:rsid w:val="004D003E"/>
    <w:rsid w:val="004D0F01"/>
    <w:rsid w:val="004D0F41"/>
    <w:rsid w:val="004D12EA"/>
    <w:rsid w:val="004D1581"/>
    <w:rsid w:val="004D44A8"/>
    <w:rsid w:val="004D47AC"/>
    <w:rsid w:val="004D7BEA"/>
    <w:rsid w:val="004E0003"/>
    <w:rsid w:val="004E044A"/>
    <w:rsid w:val="004E0CDC"/>
    <w:rsid w:val="004E330D"/>
    <w:rsid w:val="004E4541"/>
    <w:rsid w:val="004E48C8"/>
    <w:rsid w:val="004F0536"/>
    <w:rsid w:val="004F2982"/>
    <w:rsid w:val="004F48F2"/>
    <w:rsid w:val="004F49BB"/>
    <w:rsid w:val="004F4D37"/>
    <w:rsid w:val="004F4D7A"/>
    <w:rsid w:val="004F632E"/>
    <w:rsid w:val="004F695F"/>
    <w:rsid w:val="004F7E72"/>
    <w:rsid w:val="00500FBB"/>
    <w:rsid w:val="005015EA"/>
    <w:rsid w:val="00503EA3"/>
    <w:rsid w:val="005048CE"/>
    <w:rsid w:val="00504FCD"/>
    <w:rsid w:val="005050C2"/>
    <w:rsid w:val="00507D5E"/>
    <w:rsid w:val="00510A52"/>
    <w:rsid w:val="00510CA3"/>
    <w:rsid w:val="005134C9"/>
    <w:rsid w:val="00513E0E"/>
    <w:rsid w:val="00514760"/>
    <w:rsid w:val="005154D7"/>
    <w:rsid w:val="00515650"/>
    <w:rsid w:val="00515CAD"/>
    <w:rsid w:val="0051677C"/>
    <w:rsid w:val="00516B73"/>
    <w:rsid w:val="00520BAC"/>
    <w:rsid w:val="00521E19"/>
    <w:rsid w:val="00523074"/>
    <w:rsid w:val="00523942"/>
    <w:rsid w:val="00523BFA"/>
    <w:rsid w:val="00525CAD"/>
    <w:rsid w:val="00526886"/>
    <w:rsid w:val="005269DF"/>
    <w:rsid w:val="00530305"/>
    <w:rsid w:val="00531019"/>
    <w:rsid w:val="00533A8B"/>
    <w:rsid w:val="005340A5"/>
    <w:rsid w:val="00536949"/>
    <w:rsid w:val="005476E7"/>
    <w:rsid w:val="00550B47"/>
    <w:rsid w:val="005570CA"/>
    <w:rsid w:val="00557337"/>
    <w:rsid w:val="005576F3"/>
    <w:rsid w:val="00562751"/>
    <w:rsid w:val="00563094"/>
    <w:rsid w:val="00565631"/>
    <w:rsid w:val="005671D1"/>
    <w:rsid w:val="00567585"/>
    <w:rsid w:val="00567948"/>
    <w:rsid w:val="0057026B"/>
    <w:rsid w:val="005715E6"/>
    <w:rsid w:val="0057271A"/>
    <w:rsid w:val="00574B82"/>
    <w:rsid w:val="00575C82"/>
    <w:rsid w:val="0057602C"/>
    <w:rsid w:val="00577CB0"/>
    <w:rsid w:val="00577EEF"/>
    <w:rsid w:val="005830B4"/>
    <w:rsid w:val="005835C0"/>
    <w:rsid w:val="005876C3"/>
    <w:rsid w:val="005877F4"/>
    <w:rsid w:val="00590026"/>
    <w:rsid w:val="005909DD"/>
    <w:rsid w:val="00592153"/>
    <w:rsid w:val="00595495"/>
    <w:rsid w:val="00595D7F"/>
    <w:rsid w:val="005A262D"/>
    <w:rsid w:val="005A3566"/>
    <w:rsid w:val="005A4897"/>
    <w:rsid w:val="005A4E47"/>
    <w:rsid w:val="005A5B37"/>
    <w:rsid w:val="005A5D55"/>
    <w:rsid w:val="005A6736"/>
    <w:rsid w:val="005A7492"/>
    <w:rsid w:val="005B081A"/>
    <w:rsid w:val="005B1E05"/>
    <w:rsid w:val="005B2564"/>
    <w:rsid w:val="005B2EBA"/>
    <w:rsid w:val="005B5852"/>
    <w:rsid w:val="005B7A2B"/>
    <w:rsid w:val="005C3AC6"/>
    <w:rsid w:val="005D0277"/>
    <w:rsid w:val="005D3364"/>
    <w:rsid w:val="005D3DA7"/>
    <w:rsid w:val="005D480F"/>
    <w:rsid w:val="005D53D3"/>
    <w:rsid w:val="005D5A0E"/>
    <w:rsid w:val="005D7887"/>
    <w:rsid w:val="005E055D"/>
    <w:rsid w:val="005E343C"/>
    <w:rsid w:val="005E358A"/>
    <w:rsid w:val="005E3A87"/>
    <w:rsid w:val="005E3BD7"/>
    <w:rsid w:val="005E478D"/>
    <w:rsid w:val="005E549F"/>
    <w:rsid w:val="005E7874"/>
    <w:rsid w:val="005F0D91"/>
    <w:rsid w:val="005F1001"/>
    <w:rsid w:val="005F26D4"/>
    <w:rsid w:val="005F26F1"/>
    <w:rsid w:val="005F29B6"/>
    <w:rsid w:val="005F2D3E"/>
    <w:rsid w:val="005F387E"/>
    <w:rsid w:val="005F593E"/>
    <w:rsid w:val="005F71AD"/>
    <w:rsid w:val="0060011B"/>
    <w:rsid w:val="006001F1"/>
    <w:rsid w:val="0060121E"/>
    <w:rsid w:val="00602A24"/>
    <w:rsid w:val="00602E49"/>
    <w:rsid w:val="00603424"/>
    <w:rsid w:val="006034B1"/>
    <w:rsid w:val="00603FD5"/>
    <w:rsid w:val="00604F24"/>
    <w:rsid w:val="00605E9E"/>
    <w:rsid w:val="00606E74"/>
    <w:rsid w:val="00606F11"/>
    <w:rsid w:val="00607287"/>
    <w:rsid w:val="00607752"/>
    <w:rsid w:val="00607890"/>
    <w:rsid w:val="0061047E"/>
    <w:rsid w:val="0061097B"/>
    <w:rsid w:val="006111CA"/>
    <w:rsid w:val="00613590"/>
    <w:rsid w:val="006158EE"/>
    <w:rsid w:val="00616B50"/>
    <w:rsid w:val="00617376"/>
    <w:rsid w:val="006238EC"/>
    <w:rsid w:val="00624629"/>
    <w:rsid w:val="006246A0"/>
    <w:rsid w:val="00625BAE"/>
    <w:rsid w:val="00625F36"/>
    <w:rsid w:val="00635019"/>
    <w:rsid w:val="00637461"/>
    <w:rsid w:val="00641223"/>
    <w:rsid w:val="0064228C"/>
    <w:rsid w:val="00642C4E"/>
    <w:rsid w:val="006437A5"/>
    <w:rsid w:val="00643ACC"/>
    <w:rsid w:val="0064415D"/>
    <w:rsid w:val="0064428B"/>
    <w:rsid w:val="006508E5"/>
    <w:rsid w:val="00650E26"/>
    <w:rsid w:val="00651B13"/>
    <w:rsid w:val="00651BB8"/>
    <w:rsid w:val="00653164"/>
    <w:rsid w:val="00656C1D"/>
    <w:rsid w:val="00660235"/>
    <w:rsid w:val="006605B5"/>
    <w:rsid w:val="00661E5E"/>
    <w:rsid w:val="0066237F"/>
    <w:rsid w:val="0066397A"/>
    <w:rsid w:val="00663A7E"/>
    <w:rsid w:val="00665117"/>
    <w:rsid w:val="00665F91"/>
    <w:rsid w:val="006661A7"/>
    <w:rsid w:val="006661E0"/>
    <w:rsid w:val="006662D9"/>
    <w:rsid w:val="006678D8"/>
    <w:rsid w:val="00672065"/>
    <w:rsid w:val="00672752"/>
    <w:rsid w:val="00674225"/>
    <w:rsid w:val="0067571B"/>
    <w:rsid w:val="00675F13"/>
    <w:rsid w:val="00676187"/>
    <w:rsid w:val="00676367"/>
    <w:rsid w:val="00676847"/>
    <w:rsid w:val="00680145"/>
    <w:rsid w:val="00681002"/>
    <w:rsid w:val="00682800"/>
    <w:rsid w:val="0068377A"/>
    <w:rsid w:val="00686DE4"/>
    <w:rsid w:val="00687409"/>
    <w:rsid w:val="006874DB"/>
    <w:rsid w:val="00692D1E"/>
    <w:rsid w:val="006931B0"/>
    <w:rsid w:val="00695708"/>
    <w:rsid w:val="00695D1A"/>
    <w:rsid w:val="006960EF"/>
    <w:rsid w:val="006A01B8"/>
    <w:rsid w:val="006A0913"/>
    <w:rsid w:val="006A0FAD"/>
    <w:rsid w:val="006A1F75"/>
    <w:rsid w:val="006A2B61"/>
    <w:rsid w:val="006A31FE"/>
    <w:rsid w:val="006A320B"/>
    <w:rsid w:val="006A3529"/>
    <w:rsid w:val="006A751B"/>
    <w:rsid w:val="006A7C9A"/>
    <w:rsid w:val="006B0359"/>
    <w:rsid w:val="006B280C"/>
    <w:rsid w:val="006B3A14"/>
    <w:rsid w:val="006B5D61"/>
    <w:rsid w:val="006C2E34"/>
    <w:rsid w:val="006C48D8"/>
    <w:rsid w:val="006C4E79"/>
    <w:rsid w:val="006C69CE"/>
    <w:rsid w:val="006D0F26"/>
    <w:rsid w:val="006D1DD6"/>
    <w:rsid w:val="006D2068"/>
    <w:rsid w:val="006D372B"/>
    <w:rsid w:val="006D3B96"/>
    <w:rsid w:val="006D4999"/>
    <w:rsid w:val="006D7AD1"/>
    <w:rsid w:val="006E0C9E"/>
    <w:rsid w:val="006E1571"/>
    <w:rsid w:val="006E18A2"/>
    <w:rsid w:val="006E33AC"/>
    <w:rsid w:val="006E4E62"/>
    <w:rsid w:val="006F03C0"/>
    <w:rsid w:val="006F09E7"/>
    <w:rsid w:val="006F3125"/>
    <w:rsid w:val="006F40A1"/>
    <w:rsid w:val="006F4A0E"/>
    <w:rsid w:val="006F5BDD"/>
    <w:rsid w:val="006F6542"/>
    <w:rsid w:val="006F688B"/>
    <w:rsid w:val="006F6A66"/>
    <w:rsid w:val="006F7790"/>
    <w:rsid w:val="006F7806"/>
    <w:rsid w:val="006F7D95"/>
    <w:rsid w:val="0070069B"/>
    <w:rsid w:val="00700974"/>
    <w:rsid w:val="00705338"/>
    <w:rsid w:val="00705A14"/>
    <w:rsid w:val="007062F9"/>
    <w:rsid w:val="00706D3C"/>
    <w:rsid w:val="00707FBF"/>
    <w:rsid w:val="00711244"/>
    <w:rsid w:val="00712A4A"/>
    <w:rsid w:val="007131EE"/>
    <w:rsid w:val="007133D6"/>
    <w:rsid w:val="00714563"/>
    <w:rsid w:val="00716265"/>
    <w:rsid w:val="00717120"/>
    <w:rsid w:val="00721469"/>
    <w:rsid w:val="007217B2"/>
    <w:rsid w:val="007218FC"/>
    <w:rsid w:val="00724468"/>
    <w:rsid w:val="00724873"/>
    <w:rsid w:val="00724EE3"/>
    <w:rsid w:val="0072517D"/>
    <w:rsid w:val="00726E0C"/>
    <w:rsid w:val="007276AD"/>
    <w:rsid w:val="00727A44"/>
    <w:rsid w:val="00727F37"/>
    <w:rsid w:val="00727FA1"/>
    <w:rsid w:val="00730A38"/>
    <w:rsid w:val="00730B82"/>
    <w:rsid w:val="007317AA"/>
    <w:rsid w:val="00732136"/>
    <w:rsid w:val="00732479"/>
    <w:rsid w:val="00732D60"/>
    <w:rsid w:val="0073301A"/>
    <w:rsid w:val="00734EEB"/>
    <w:rsid w:val="00736167"/>
    <w:rsid w:val="0073681A"/>
    <w:rsid w:val="00736A32"/>
    <w:rsid w:val="007376EE"/>
    <w:rsid w:val="007400FB"/>
    <w:rsid w:val="00740599"/>
    <w:rsid w:val="00741022"/>
    <w:rsid w:val="00746B96"/>
    <w:rsid w:val="00747972"/>
    <w:rsid w:val="00747AEF"/>
    <w:rsid w:val="0075006D"/>
    <w:rsid w:val="007505D4"/>
    <w:rsid w:val="007506E8"/>
    <w:rsid w:val="00750DD4"/>
    <w:rsid w:val="00751829"/>
    <w:rsid w:val="00752491"/>
    <w:rsid w:val="0075330A"/>
    <w:rsid w:val="00753933"/>
    <w:rsid w:val="00753E22"/>
    <w:rsid w:val="007542C1"/>
    <w:rsid w:val="007572E4"/>
    <w:rsid w:val="00757EF9"/>
    <w:rsid w:val="00762982"/>
    <w:rsid w:val="00764DE7"/>
    <w:rsid w:val="00765B3A"/>
    <w:rsid w:val="00765F47"/>
    <w:rsid w:val="007676C1"/>
    <w:rsid w:val="00770823"/>
    <w:rsid w:val="00772812"/>
    <w:rsid w:val="0078059B"/>
    <w:rsid w:val="0078093C"/>
    <w:rsid w:val="00780A3C"/>
    <w:rsid w:val="0078305F"/>
    <w:rsid w:val="00783228"/>
    <w:rsid w:val="00783A79"/>
    <w:rsid w:val="00784BFD"/>
    <w:rsid w:val="00784CA6"/>
    <w:rsid w:val="00785272"/>
    <w:rsid w:val="007857B1"/>
    <w:rsid w:val="00791AA6"/>
    <w:rsid w:val="00792B20"/>
    <w:rsid w:val="0079314B"/>
    <w:rsid w:val="00793F3E"/>
    <w:rsid w:val="00794638"/>
    <w:rsid w:val="007953E4"/>
    <w:rsid w:val="00795CC5"/>
    <w:rsid w:val="00796BB1"/>
    <w:rsid w:val="00796CA4"/>
    <w:rsid w:val="00797CAD"/>
    <w:rsid w:val="007A0FD0"/>
    <w:rsid w:val="007A17D1"/>
    <w:rsid w:val="007A33BC"/>
    <w:rsid w:val="007A3451"/>
    <w:rsid w:val="007A3991"/>
    <w:rsid w:val="007A42DA"/>
    <w:rsid w:val="007A7F5E"/>
    <w:rsid w:val="007B1DB0"/>
    <w:rsid w:val="007B20BD"/>
    <w:rsid w:val="007B216B"/>
    <w:rsid w:val="007B3CDA"/>
    <w:rsid w:val="007B61BA"/>
    <w:rsid w:val="007B7607"/>
    <w:rsid w:val="007C252A"/>
    <w:rsid w:val="007C31F2"/>
    <w:rsid w:val="007C4356"/>
    <w:rsid w:val="007C4D26"/>
    <w:rsid w:val="007C7A16"/>
    <w:rsid w:val="007D059E"/>
    <w:rsid w:val="007D0843"/>
    <w:rsid w:val="007D1F98"/>
    <w:rsid w:val="007D21A7"/>
    <w:rsid w:val="007D36C0"/>
    <w:rsid w:val="007D4141"/>
    <w:rsid w:val="007D420F"/>
    <w:rsid w:val="007D53A3"/>
    <w:rsid w:val="007D5A3C"/>
    <w:rsid w:val="007D7094"/>
    <w:rsid w:val="007D7F52"/>
    <w:rsid w:val="007E00FE"/>
    <w:rsid w:val="007E0CCA"/>
    <w:rsid w:val="007E0E13"/>
    <w:rsid w:val="007E0F89"/>
    <w:rsid w:val="007E162E"/>
    <w:rsid w:val="007E29CD"/>
    <w:rsid w:val="007E2CAF"/>
    <w:rsid w:val="007E4E71"/>
    <w:rsid w:val="007E7E53"/>
    <w:rsid w:val="007F18DB"/>
    <w:rsid w:val="007F2C51"/>
    <w:rsid w:val="007F335A"/>
    <w:rsid w:val="007F3385"/>
    <w:rsid w:val="007F4D6E"/>
    <w:rsid w:val="007F561F"/>
    <w:rsid w:val="007F6386"/>
    <w:rsid w:val="007F6CDA"/>
    <w:rsid w:val="007F7266"/>
    <w:rsid w:val="007F746A"/>
    <w:rsid w:val="007F7960"/>
    <w:rsid w:val="008004A5"/>
    <w:rsid w:val="00800D6A"/>
    <w:rsid w:val="00801BF5"/>
    <w:rsid w:val="00806661"/>
    <w:rsid w:val="00806BD2"/>
    <w:rsid w:val="00806D93"/>
    <w:rsid w:val="00807B5C"/>
    <w:rsid w:val="008103A0"/>
    <w:rsid w:val="00810903"/>
    <w:rsid w:val="00812A4D"/>
    <w:rsid w:val="008136BB"/>
    <w:rsid w:val="00813FCB"/>
    <w:rsid w:val="00814CBD"/>
    <w:rsid w:val="008155D7"/>
    <w:rsid w:val="00816103"/>
    <w:rsid w:val="008179B6"/>
    <w:rsid w:val="00820051"/>
    <w:rsid w:val="008230DD"/>
    <w:rsid w:val="0082370C"/>
    <w:rsid w:val="00824EA6"/>
    <w:rsid w:val="008251DA"/>
    <w:rsid w:val="00825C2B"/>
    <w:rsid w:val="00831CC7"/>
    <w:rsid w:val="0083266F"/>
    <w:rsid w:val="00833E81"/>
    <w:rsid w:val="008351BD"/>
    <w:rsid w:val="00835504"/>
    <w:rsid w:val="00835CEA"/>
    <w:rsid w:val="00835FF5"/>
    <w:rsid w:val="00836C8C"/>
    <w:rsid w:val="00837D9C"/>
    <w:rsid w:val="0084230E"/>
    <w:rsid w:val="00845D74"/>
    <w:rsid w:val="00846111"/>
    <w:rsid w:val="00846F97"/>
    <w:rsid w:val="00846FE4"/>
    <w:rsid w:val="0084724D"/>
    <w:rsid w:val="008475B0"/>
    <w:rsid w:val="00851702"/>
    <w:rsid w:val="00851C64"/>
    <w:rsid w:val="008529D2"/>
    <w:rsid w:val="00852E86"/>
    <w:rsid w:val="008554EE"/>
    <w:rsid w:val="00860745"/>
    <w:rsid w:val="008609A4"/>
    <w:rsid w:val="00860E58"/>
    <w:rsid w:val="00860F29"/>
    <w:rsid w:val="008618D2"/>
    <w:rsid w:val="00863B33"/>
    <w:rsid w:val="008658E7"/>
    <w:rsid w:val="00866B78"/>
    <w:rsid w:val="00870A87"/>
    <w:rsid w:val="0087279B"/>
    <w:rsid w:val="00873A30"/>
    <w:rsid w:val="008762BA"/>
    <w:rsid w:val="00876361"/>
    <w:rsid w:val="00880283"/>
    <w:rsid w:val="00884A13"/>
    <w:rsid w:val="00885D82"/>
    <w:rsid w:val="00885EB1"/>
    <w:rsid w:val="00887246"/>
    <w:rsid w:val="00887639"/>
    <w:rsid w:val="00890083"/>
    <w:rsid w:val="008948F8"/>
    <w:rsid w:val="00894DF4"/>
    <w:rsid w:val="008A310E"/>
    <w:rsid w:val="008A3601"/>
    <w:rsid w:val="008A3A8A"/>
    <w:rsid w:val="008A55C5"/>
    <w:rsid w:val="008A5DE1"/>
    <w:rsid w:val="008A6222"/>
    <w:rsid w:val="008A64C2"/>
    <w:rsid w:val="008A79A1"/>
    <w:rsid w:val="008B1DD8"/>
    <w:rsid w:val="008B3287"/>
    <w:rsid w:val="008B3E2F"/>
    <w:rsid w:val="008B740A"/>
    <w:rsid w:val="008B7C6B"/>
    <w:rsid w:val="008C1009"/>
    <w:rsid w:val="008C2282"/>
    <w:rsid w:val="008C2623"/>
    <w:rsid w:val="008C2D4D"/>
    <w:rsid w:val="008C3B50"/>
    <w:rsid w:val="008C44D5"/>
    <w:rsid w:val="008C7231"/>
    <w:rsid w:val="008D21FE"/>
    <w:rsid w:val="008D28C7"/>
    <w:rsid w:val="008D3B88"/>
    <w:rsid w:val="008D482D"/>
    <w:rsid w:val="008D5003"/>
    <w:rsid w:val="008D7606"/>
    <w:rsid w:val="008E0C5F"/>
    <w:rsid w:val="008E2E32"/>
    <w:rsid w:val="008E458C"/>
    <w:rsid w:val="008E549C"/>
    <w:rsid w:val="008E6823"/>
    <w:rsid w:val="008E79F6"/>
    <w:rsid w:val="008F0009"/>
    <w:rsid w:val="008F4C3C"/>
    <w:rsid w:val="008F5DD7"/>
    <w:rsid w:val="008F64EF"/>
    <w:rsid w:val="008F6E79"/>
    <w:rsid w:val="008F79AD"/>
    <w:rsid w:val="00900EBE"/>
    <w:rsid w:val="00900F0C"/>
    <w:rsid w:val="0090137A"/>
    <w:rsid w:val="00902DFA"/>
    <w:rsid w:val="00903710"/>
    <w:rsid w:val="00903E88"/>
    <w:rsid w:val="00904AAE"/>
    <w:rsid w:val="009107A7"/>
    <w:rsid w:val="00912206"/>
    <w:rsid w:val="00912303"/>
    <w:rsid w:val="0091439D"/>
    <w:rsid w:val="0091519A"/>
    <w:rsid w:val="0091708C"/>
    <w:rsid w:val="0091786A"/>
    <w:rsid w:val="00920AB9"/>
    <w:rsid w:val="00922444"/>
    <w:rsid w:val="009225B1"/>
    <w:rsid w:val="00923937"/>
    <w:rsid w:val="00924902"/>
    <w:rsid w:val="00924B02"/>
    <w:rsid w:val="00925F5A"/>
    <w:rsid w:val="00927126"/>
    <w:rsid w:val="009306D2"/>
    <w:rsid w:val="009324DE"/>
    <w:rsid w:val="00932B8D"/>
    <w:rsid w:val="00933BB6"/>
    <w:rsid w:val="00936389"/>
    <w:rsid w:val="00940CAD"/>
    <w:rsid w:val="009411DA"/>
    <w:rsid w:val="00941F11"/>
    <w:rsid w:val="00941F20"/>
    <w:rsid w:val="00942420"/>
    <w:rsid w:val="0094570A"/>
    <w:rsid w:val="00947733"/>
    <w:rsid w:val="00950D0E"/>
    <w:rsid w:val="00953BB2"/>
    <w:rsid w:val="009545AB"/>
    <w:rsid w:val="0096176F"/>
    <w:rsid w:val="00962D49"/>
    <w:rsid w:val="00964ACD"/>
    <w:rsid w:val="009673B7"/>
    <w:rsid w:val="009707CD"/>
    <w:rsid w:val="00971DC3"/>
    <w:rsid w:val="00974092"/>
    <w:rsid w:val="009743FC"/>
    <w:rsid w:val="00976CDA"/>
    <w:rsid w:val="009802D8"/>
    <w:rsid w:val="00981166"/>
    <w:rsid w:val="00982C85"/>
    <w:rsid w:val="00982DC1"/>
    <w:rsid w:val="00982EA5"/>
    <w:rsid w:val="00983839"/>
    <w:rsid w:val="00983BFE"/>
    <w:rsid w:val="00983FB4"/>
    <w:rsid w:val="0098458F"/>
    <w:rsid w:val="00986B3D"/>
    <w:rsid w:val="00986DAA"/>
    <w:rsid w:val="00987541"/>
    <w:rsid w:val="009919DE"/>
    <w:rsid w:val="00992AD0"/>
    <w:rsid w:val="00993521"/>
    <w:rsid w:val="0099438F"/>
    <w:rsid w:val="00997E19"/>
    <w:rsid w:val="009A16A6"/>
    <w:rsid w:val="009A16A7"/>
    <w:rsid w:val="009A349B"/>
    <w:rsid w:val="009A4F34"/>
    <w:rsid w:val="009A6527"/>
    <w:rsid w:val="009B25F2"/>
    <w:rsid w:val="009B4662"/>
    <w:rsid w:val="009B6E57"/>
    <w:rsid w:val="009B77EC"/>
    <w:rsid w:val="009C0219"/>
    <w:rsid w:val="009C0B9E"/>
    <w:rsid w:val="009C0C1B"/>
    <w:rsid w:val="009C1004"/>
    <w:rsid w:val="009C16E6"/>
    <w:rsid w:val="009C2A6B"/>
    <w:rsid w:val="009C35A8"/>
    <w:rsid w:val="009C3810"/>
    <w:rsid w:val="009C3913"/>
    <w:rsid w:val="009C63B1"/>
    <w:rsid w:val="009C65EE"/>
    <w:rsid w:val="009C7F6A"/>
    <w:rsid w:val="009D2AB8"/>
    <w:rsid w:val="009D377B"/>
    <w:rsid w:val="009D4ED3"/>
    <w:rsid w:val="009D58CD"/>
    <w:rsid w:val="009D5BEC"/>
    <w:rsid w:val="009D75E7"/>
    <w:rsid w:val="009D764F"/>
    <w:rsid w:val="009E0F88"/>
    <w:rsid w:val="009E0FE4"/>
    <w:rsid w:val="009E10AE"/>
    <w:rsid w:val="009E1F2C"/>
    <w:rsid w:val="009E2E1D"/>
    <w:rsid w:val="009E505D"/>
    <w:rsid w:val="009E586A"/>
    <w:rsid w:val="009E760B"/>
    <w:rsid w:val="009F0328"/>
    <w:rsid w:val="009F178C"/>
    <w:rsid w:val="009F20C2"/>
    <w:rsid w:val="009F3178"/>
    <w:rsid w:val="00A0020D"/>
    <w:rsid w:val="00A007E5"/>
    <w:rsid w:val="00A018B2"/>
    <w:rsid w:val="00A0271C"/>
    <w:rsid w:val="00A039A2"/>
    <w:rsid w:val="00A03F4F"/>
    <w:rsid w:val="00A047DD"/>
    <w:rsid w:val="00A056D5"/>
    <w:rsid w:val="00A10002"/>
    <w:rsid w:val="00A11384"/>
    <w:rsid w:val="00A11DD8"/>
    <w:rsid w:val="00A12110"/>
    <w:rsid w:val="00A1356A"/>
    <w:rsid w:val="00A1490A"/>
    <w:rsid w:val="00A15104"/>
    <w:rsid w:val="00A154A4"/>
    <w:rsid w:val="00A1760A"/>
    <w:rsid w:val="00A17CFB"/>
    <w:rsid w:val="00A20450"/>
    <w:rsid w:val="00A204ED"/>
    <w:rsid w:val="00A21380"/>
    <w:rsid w:val="00A230FA"/>
    <w:rsid w:val="00A23166"/>
    <w:rsid w:val="00A25AFC"/>
    <w:rsid w:val="00A27240"/>
    <w:rsid w:val="00A300F6"/>
    <w:rsid w:val="00A30CE9"/>
    <w:rsid w:val="00A30DFD"/>
    <w:rsid w:val="00A30E61"/>
    <w:rsid w:val="00A321D2"/>
    <w:rsid w:val="00A333D7"/>
    <w:rsid w:val="00A33B98"/>
    <w:rsid w:val="00A3461D"/>
    <w:rsid w:val="00A42778"/>
    <w:rsid w:val="00A43220"/>
    <w:rsid w:val="00A44533"/>
    <w:rsid w:val="00A45496"/>
    <w:rsid w:val="00A45E89"/>
    <w:rsid w:val="00A4678D"/>
    <w:rsid w:val="00A50483"/>
    <w:rsid w:val="00A51229"/>
    <w:rsid w:val="00A51C26"/>
    <w:rsid w:val="00A522D6"/>
    <w:rsid w:val="00A526FC"/>
    <w:rsid w:val="00A53CEC"/>
    <w:rsid w:val="00A5495F"/>
    <w:rsid w:val="00A54E0D"/>
    <w:rsid w:val="00A550B9"/>
    <w:rsid w:val="00A565D1"/>
    <w:rsid w:val="00A60A68"/>
    <w:rsid w:val="00A6266D"/>
    <w:rsid w:val="00A635EA"/>
    <w:rsid w:val="00A65AA2"/>
    <w:rsid w:val="00A66710"/>
    <w:rsid w:val="00A71525"/>
    <w:rsid w:val="00A719EF"/>
    <w:rsid w:val="00A7406B"/>
    <w:rsid w:val="00A769AD"/>
    <w:rsid w:val="00A77244"/>
    <w:rsid w:val="00A83931"/>
    <w:rsid w:val="00A83ADE"/>
    <w:rsid w:val="00A84CA0"/>
    <w:rsid w:val="00A84CE4"/>
    <w:rsid w:val="00A85EA5"/>
    <w:rsid w:val="00A86A6E"/>
    <w:rsid w:val="00A925E0"/>
    <w:rsid w:val="00A947A5"/>
    <w:rsid w:val="00A95074"/>
    <w:rsid w:val="00A96564"/>
    <w:rsid w:val="00A96956"/>
    <w:rsid w:val="00A97BE0"/>
    <w:rsid w:val="00AA0726"/>
    <w:rsid w:val="00AA10A3"/>
    <w:rsid w:val="00AA1E01"/>
    <w:rsid w:val="00AA2893"/>
    <w:rsid w:val="00AA30F4"/>
    <w:rsid w:val="00AA33A9"/>
    <w:rsid w:val="00AA3D02"/>
    <w:rsid w:val="00AA45E9"/>
    <w:rsid w:val="00AA5647"/>
    <w:rsid w:val="00AA5CC2"/>
    <w:rsid w:val="00AA66CB"/>
    <w:rsid w:val="00AA7927"/>
    <w:rsid w:val="00AA7D2B"/>
    <w:rsid w:val="00AB4D84"/>
    <w:rsid w:val="00AB7376"/>
    <w:rsid w:val="00AB7CAE"/>
    <w:rsid w:val="00AB7EFA"/>
    <w:rsid w:val="00AC0908"/>
    <w:rsid w:val="00AC15A1"/>
    <w:rsid w:val="00AC1726"/>
    <w:rsid w:val="00AC1BA7"/>
    <w:rsid w:val="00AC371B"/>
    <w:rsid w:val="00AC4F4D"/>
    <w:rsid w:val="00AC67E4"/>
    <w:rsid w:val="00AD1166"/>
    <w:rsid w:val="00AD25AC"/>
    <w:rsid w:val="00AD5812"/>
    <w:rsid w:val="00AD5F1A"/>
    <w:rsid w:val="00AD7829"/>
    <w:rsid w:val="00AE20F6"/>
    <w:rsid w:val="00AE4695"/>
    <w:rsid w:val="00AE4914"/>
    <w:rsid w:val="00AE557D"/>
    <w:rsid w:val="00AE618D"/>
    <w:rsid w:val="00AE6B92"/>
    <w:rsid w:val="00AE7C21"/>
    <w:rsid w:val="00AF03C6"/>
    <w:rsid w:val="00AF09E6"/>
    <w:rsid w:val="00AF0FAF"/>
    <w:rsid w:val="00AF3AF2"/>
    <w:rsid w:val="00AF6AE0"/>
    <w:rsid w:val="00AF77BF"/>
    <w:rsid w:val="00AF7E95"/>
    <w:rsid w:val="00B000B3"/>
    <w:rsid w:val="00B01963"/>
    <w:rsid w:val="00B01CDB"/>
    <w:rsid w:val="00B051BA"/>
    <w:rsid w:val="00B0554F"/>
    <w:rsid w:val="00B11A4B"/>
    <w:rsid w:val="00B12313"/>
    <w:rsid w:val="00B12EA3"/>
    <w:rsid w:val="00B13D28"/>
    <w:rsid w:val="00B141F5"/>
    <w:rsid w:val="00B215C4"/>
    <w:rsid w:val="00B22361"/>
    <w:rsid w:val="00B22863"/>
    <w:rsid w:val="00B24DEC"/>
    <w:rsid w:val="00B26A6C"/>
    <w:rsid w:val="00B2754A"/>
    <w:rsid w:val="00B27B2B"/>
    <w:rsid w:val="00B3017F"/>
    <w:rsid w:val="00B30D4D"/>
    <w:rsid w:val="00B3168F"/>
    <w:rsid w:val="00B318D5"/>
    <w:rsid w:val="00B32DF8"/>
    <w:rsid w:val="00B34490"/>
    <w:rsid w:val="00B35665"/>
    <w:rsid w:val="00B35E88"/>
    <w:rsid w:val="00B35FCB"/>
    <w:rsid w:val="00B36009"/>
    <w:rsid w:val="00B36CE1"/>
    <w:rsid w:val="00B37489"/>
    <w:rsid w:val="00B4095D"/>
    <w:rsid w:val="00B420AD"/>
    <w:rsid w:val="00B420CF"/>
    <w:rsid w:val="00B42E63"/>
    <w:rsid w:val="00B4338A"/>
    <w:rsid w:val="00B469BA"/>
    <w:rsid w:val="00B4712B"/>
    <w:rsid w:val="00B517BA"/>
    <w:rsid w:val="00B51BF2"/>
    <w:rsid w:val="00B52AC0"/>
    <w:rsid w:val="00B53782"/>
    <w:rsid w:val="00B5429E"/>
    <w:rsid w:val="00B55BDD"/>
    <w:rsid w:val="00B57AEF"/>
    <w:rsid w:val="00B606E9"/>
    <w:rsid w:val="00B607E1"/>
    <w:rsid w:val="00B62AC5"/>
    <w:rsid w:val="00B630B0"/>
    <w:rsid w:val="00B649B1"/>
    <w:rsid w:val="00B653A6"/>
    <w:rsid w:val="00B653E5"/>
    <w:rsid w:val="00B6557E"/>
    <w:rsid w:val="00B65817"/>
    <w:rsid w:val="00B66D16"/>
    <w:rsid w:val="00B66F39"/>
    <w:rsid w:val="00B67A22"/>
    <w:rsid w:val="00B70C3F"/>
    <w:rsid w:val="00B71527"/>
    <w:rsid w:val="00B71EE0"/>
    <w:rsid w:val="00B72F62"/>
    <w:rsid w:val="00B731B0"/>
    <w:rsid w:val="00B73C3C"/>
    <w:rsid w:val="00B74AA1"/>
    <w:rsid w:val="00B74EB5"/>
    <w:rsid w:val="00B7704F"/>
    <w:rsid w:val="00B774D3"/>
    <w:rsid w:val="00B77552"/>
    <w:rsid w:val="00B77C64"/>
    <w:rsid w:val="00B81546"/>
    <w:rsid w:val="00B81CB6"/>
    <w:rsid w:val="00B82EC9"/>
    <w:rsid w:val="00B85927"/>
    <w:rsid w:val="00B86A4D"/>
    <w:rsid w:val="00B8728A"/>
    <w:rsid w:val="00B91118"/>
    <w:rsid w:val="00B93410"/>
    <w:rsid w:val="00B9405B"/>
    <w:rsid w:val="00B95E9E"/>
    <w:rsid w:val="00B9627A"/>
    <w:rsid w:val="00B96F69"/>
    <w:rsid w:val="00BA032F"/>
    <w:rsid w:val="00BA0967"/>
    <w:rsid w:val="00BA24FD"/>
    <w:rsid w:val="00BA2B3C"/>
    <w:rsid w:val="00BA2CFE"/>
    <w:rsid w:val="00BA31E5"/>
    <w:rsid w:val="00BA43D9"/>
    <w:rsid w:val="00BA493F"/>
    <w:rsid w:val="00BA6157"/>
    <w:rsid w:val="00BA7AAF"/>
    <w:rsid w:val="00BA7C82"/>
    <w:rsid w:val="00BB048B"/>
    <w:rsid w:val="00BB100C"/>
    <w:rsid w:val="00BB132B"/>
    <w:rsid w:val="00BB2B07"/>
    <w:rsid w:val="00BB3B8F"/>
    <w:rsid w:val="00BC2584"/>
    <w:rsid w:val="00BC2CEF"/>
    <w:rsid w:val="00BC4C05"/>
    <w:rsid w:val="00BC4E8C"/>
    <w:rsid w:val="00BC5DED"/>
    <w:rsid w:val="00BC6600"/>
    <w:rsid w:val="00BC6B53"/>
    <w:rsid w:val="00BD0504"/>
    <w:rsid w:val="00BD0B58"/>
    <w:rsid w:val="00BD1564"/>
    <w:rsid w:val="00BD1ABF"/>
    <w:rsid w:val="00BD1CDA"/>
    <w:rsid w:val="00BD38D4"/>
    <w:rsid w:val="00BD399B"/>
    <w:rsid w:val="00BD70F9"/>
    <w:rsid w:val="00BE1261"/>
    <w:rsid w:val="00BE1495"/>
    <w:rsid w:val="00BE2022"/>
    <w:rsid w:val="00BE215D"/>
    <w:rsid w:val="00BE662D"/>
    <w:rsid w:val="00BE7974"/>
    <w:rsid w:val="00BF2122"/>
    <w:rsid w:val="00BF21FC"/>
    <w:rsid w:val="00BF3A7B"/>
    <w:rsid w:val="00BF4628"/>
    <w:rsid w:val="00BF5E73"/>
    <w:rsid w:val="00BF6BC7"/>
    <w:rsid w:val="00BF7CD9"/>
    <w:rsid w:val="00C017CF"/>
    <w:rsid w:val="00C037A7"/>
    <w:rsid w:val="00C04B5F"/>
    <w:rsid w:val="00C04C8E"/>
    <w:rsid w:val="00C05156"/>
    <w:rsid w:val="00C0551E"/>
    <w:rsid w:val="00C07000"/>
    <w:rsid w:val="00C07534"/>
    <w:rsid w:val="00C10A16"/>
    <w:rsid w:val="00C10B17"/>
    <w:rsid w:val="00C10BD6"/>
    <w:rsid w:val="00C12216"/>
    <w:rsid w:val="00C129CF"/>
    <w:rsid w:val="00C13AC8"/>
    <w:rsid w:val="00C13D52"/>
    <w:rsid w:val="00C14782"/>
    <w:rsid w:val="00C149F4"/>
    <w:rsid w:val="00C1794C"/>
    <w:rsid w:val="00C20D07"/>
    <w:rsid w:val="00C20D31"/>
    <w:rsid w:val="00C22594"/>
    <w:rsid w:val="00C23E55"/>
    <w:rsid w:val="00C24D51"/>
    <w:rsid w:val="00C27391"/>
    <w:rsid w:val="00C30062"/>
    <w:rsid w:val="00C31CEF"/>
    <w:rsid w:val="00C35553"/>
    <w:rsid w:val="00C35D23"/>
    <w:rsid w:val="00C40A94"/>
    <w:rsid w:val="00C4178E"/>
    <w:rsid w:val="00C41EB3"/>
    <w:rsid w:val="00C4283E"/>
    <w:rsid w:val="00C429E0"/>
    <w:rsid w:val="00C43A3C"/>
    <w:rsid w:val="00C46542"/>
    <w:rsid w:val="00C47286"/>
    <w:rsid w:val="00C500E1"/>
    <w:rsid w:val="00C518EF"/>
    <w:rsid w:val="00C538F4"/>
    <w:rsid w:val="00C56C76"/>
    <w:rsid w:val="00C609DA"/>
    <w:rsid w:val="00C6133D"/>
    <w:rsid w:val="00C61B4B"/>
    <w:rsid w:val="00C61FC3"/>
    <w:rsid w:val="00C61FDD"/>
    <w:rsid w:val="00C62A16"/>
    <w:rsid w:val="00C64293"/>
    <w:rsid w:val="00C6466B"/>
    <w:rsid w:val="00C66023"/>
    <w:rsid w:val="00C667CC"/>
    <w:rsid w:val="00C66D5A"/>
    <w:rsid w:val="00C676D0"/>
    <w:rsid w:val="00C67896"/>
    <w:rsid w:val="00C70148"/>
    <w:rsid w:val="00C71192"/>
    <w:rsid w:val="00C714AE"/>
    <w:rsid w:val="00C71971"/>
    <w:rsid w:val="00C71F9F"/>
    <w:rsid w:val="00C7295D"/>
    <w:rsid w:val="00C737AA"/>
    <w:rsid w:val="00C752C3"/>
    <w:rsid w:val="00C75801"/>
    <w:rsid w:val="00C75896"/>
    <w:rsid w:val="00C77FFA"/>
    <w:rsid w:val="00C80071"/>
    <w:rsid w:val="00C8111D"/>
    <w:rsid w:val="00C82476"/>
    <w:rsid w:val="00C829A0"/>
    <w:rsid w:val="00C84629"/>
    <w:rsid w:val="00C858B8"/>
    <w:rsid w:val="00C955E0"/>
    <w:rsid w:val="00C960AE"/>
    <w:rsid w:val="00CA15BC"/>
    <w:rsid w:val="00CA19CB"/>
    <w:rsid w:val="00CA24A9"/>
    <w:rsid w:val="00CA2805"/>
    <w:rsid w:val="00CA3564"/>
    <w:rsid w:val="00CA3A72"/>
    <w:rsid w:val="00CA6050"/>
    <w:rsid w:val="00CA62EA"/>
    <w:rsid w:val="00CA7BDA"/>
    <w:rsid w:val="00CA7DDE"/>
    <w:rsid w:val="00CB1DFA"/>
    <w:rsid w:val="00CB2049"/>
    <w:rsid w:val="00CB2418"/>
    <w:rsid w:val="00CB2634"/>
    <w:rsid w:val="00CB3F12"/>
    <w:rsid w:val="00CB3FF1"/>
    <w:rsid w:val="00CB5CF5"/>
    <w:rsid w:val="00CB6B34"/>
    <w:rsid w:val="00CB713A"/>
    <w:rsid w:val="00CC1EBA"/>
    <w:rsid w:val="00CC523D"/>
    <w:rsid w:val="00CC5323"/>
    <w:rsid w:val="00CC5C89"/>
    <w:rsid w:val="00CC7E59"/>
    <w:rsid w:val="00CD3C93"/>
    <w:rsid w:val="00CD4199"/>
    <w:rsid w:val="00CD4750"/>
    <w:rsid w:val="00CD521D"/>
    <w:rsid w:val="00CD5553"/>
    <w:rsid w:val="00CD6AA1"/>
    <w:rsid w:val="00CD6C09"/>
    <w:rsid w:val="00CD6F48"/>
    <w:rsid w:val="00CD7C40"/>
    <w:rsid w:val="00CE1690"/>
    <w:rsid w:val="00CE189D"/>
    <w:rsid w:val="00CE3D33"/>
    <w:rsid w:val="00CE436D"/>
    <w:rsid w:val="00CE4FC5"/>
    <w:rsid w:val="00CE59B2"/>
    <w:rsid w:val="00CE604E"/>
    <w:rsid w:val="00CF1CB9"/>
    <w:rsid w:val="00CF2DA1"/>
    <w:rsid w:val="00CF3010"/>
    <w:rsid w:val="00CF43FD"/>
    <w:rsid w:val="00CF7945"/>
    <w:rsid w:val="00D0196A"/>
    <w:rsid w:val="00D02070"/>
    <w:rsid w:val="00D030D9"/>
    <w:rsid w:val="00D03583"/>
    <w:rsid w:val="00D04D57"/>
    <w:rsid w:val="00D05179"/>
    <w:rsid w:val="00D05A05"/>
    <w:rsid w:val="00D07A20"/>
    <w:rsid w:val="00D11074"/>
    <w:rsid w:val="00D12E05"/>
    <w:rsid w:val="00D13AF9"/>
    <w:rsid w:val="00D13CBB"/>
    <w:rsid w:val="00D14BA9"/>
    <w:rsid w:val="00D167D6"/>
    <w:rsid w:val="00D16E03"/>
    <w:rsid w:val="00D17F7A"/>
    <w:rsid w:val="00D205EC"/>
    <w:rsid w:val="00D20908"/>
    <w:rsid w:val="00D20E6A"/>
    <w:rsid w:val="00D21EE7"/>
    <w:rsid w:val="00D22400"/>
    <w:rsid w:val="00D24238"/>
    <w:rsid w:val="00D242D7"/>
    <w:rsid w:val="00D24452"/>
    <w:rsid w:val="00D25DBF"/>
    <w:rsid w:val="00D260EE"/>
    <w:rsid w:val="00D2611D"/>
    <w:rsid w:val="00D26766"/>
    <w:rsid w:val="00D27820"/>
    <w:rsid w:val="00D30DBB"/>
    <w:rsid w:val="00D32A91"/>
    <w:rsid w:val="00D3300C"/>
    <w:rsid w:val="00D33A7C"/>
    <w:rsid w:val="00D34733"/>
    <w:rsid w:val="00D3594D"/>
    <w:rsid w:val="00D35C48"/>
    <w:rsid w:val="00D36A92"/>
    <w:rsid w:val="00D36ECA"/>
    <w:rsid w:val="00D37021"/>
    <w:rsid w:val="00D3741C"/>
    <w:rsid w:val="00D37A57"/>
    <w:rsid w:val="00D406E1"/>
    <w:rsid w:val="00D41382"/>
    <w:rsid w:val="00D43112"/>
    <w:rsid w:val="00D43C0A"/>
    <w:rsid w:val="00D4481E"/>
    <w:rsid w:val="00D46581"/>
    <w:rsid w:val="00D46B9E"/>
    <w:rsid w:val="00D47CCB"/>
    <w:rsid w:val="00D50CF3"/>
    <w:rsid w:val="00D510A2"/>
    <w:rsid w:val="00D51A26"/>
    <w:rsid w:val="00D536F5"/>
    <w:rsid w:val="00D53A89"/>
    <w:rsid w:val="00D55B4C"/>
    <w:rsid w:val="00D56C55"/>
    <w:rsid w:val="00D57B78"/>
    <w:rsid w:val="00D607B5"/>
    <w:rsid w:val="00D60A10"/>
    <w:rsid w:val="00D61207"/>
    <w:rsid w:val="00D62402"/>
    <w:rsid w:val="00D626B4"/>
    <w:rsid w:val="00D630AA"/>
    <w:rsid w:val="00D63E0E"/>
    <w:rsid w:val="00D64135"/>
    <w:rsid w:val="00D65287"/>
    <w:rsid w:val="00D70503"/>
    <w:rsid w:val="00D7135A"/>
    <w:rsid w:val="00D716D4"/>
    <w:rsid w:val="00D729D3"/>
    <w:rsid w:val="00D7449E"/>
    <w:rsid w:val="00D7492E"/>
    <w:rsid w:val="00D75F18"/>
    <w:rsid w:val="00D82DF9"/>
    <w:rsid w:val="00D844E4"/>
    <w:rsid w:val="00D84851"/>
    <w:rsid w:val="00D85D50"/>
    <w:rsid w:val="00D8632D"/>
    <w:rsid w:val="00D86754"/>
    <w:rsid w:val="00D86B85"/>
    <w:rsid w:val="00D872BC"/>
    <w:rsid w:val="00D904B9"/>
    <w:rsid w:val="00D93789"/>
    <w:rsid w:val="00D93AA5"/>
    <w:rsid w:val="00D93FB8"/>
    <w:rsid w:val="00D9746D"/>
    <w:rsid w:val="00D9768B"/>
    <w:rsid w:val="00DA1BD0"/>
    <w:rsid w:val="00DA1BF3"/>
    <w:rsid w:val="00DA3CAA"/>
    <w:rsid w:val="00DA4621"/>
    <w:rsid w:val="00DA4683"/>
    <w:rsid w:val="00DA645D"/>
    <w:rsid w:val="00DA66D9"/>
    <w:rsid w:val="00DA671E"/>
    <w:rsid w:val="00DA689A"/>
    <w:rsid w:val="00DA6C96"/>
    <w:rsid w:val="00DB1397"/>
    <w:rsid w:val="00DB1700"/>
    <w:rsid w:val="00DB19A5"/>
    <w:rsid w:val="00DB29FF"/>
    <w:rsid w:val="00DB4776"/>
    <w:rsid w:val="00DB5758"/>
    <w:rsid w:val="00DB666A"/>
    <w:rsid w:val="00DC1306"/>
    <w:rsid w:val="00DC2669"/>
    <w:rsid w:val="00DC3937"/>
    <w:rsid w:val="00DC4834"/>
    <w:rsid w:val="00DC4DD7"/>
    <w:rsid w:val="00DC69EF"/>
    <w:rsid w:val="00DD0647"/>
    <w:rsid w:val="00DD0844"/>
    <w:rsid w:val="00DD1204"/>
    <w:rsid w:val="00DD22F5"/>
    <w:rsid w:val="00DD2460"/>
    <w:rsid w:val="00DD3C33"/>
    <w:rsid w:val="00DD3ED5"/>
    <w:rsid w:val="00DD4011"/>
    <w:rsid w:val="00DD417F"/>
    <w:rsid w:val="00DD60FA"/>
    <w:rsid w:val="00DD717D"/>
    <w:rsid w:val="00DD7805"/>
    <w:rsid w:val="00DE0C3C"/>
    <w:rsid w:val="00DE1409"/>
    <w:rsid w:val="00DE1650"/>
    <w:rsid w:val="00DE3435"/>
    <w:rsid w:val="00DE3DAF"/>
    <w:rsid w:val="00DE43F2"/>
    <w:rsid w:val="00DE5811"/>
    <w:rsid w:val="00DE66C0"/>
    <w:rsid w:val="00DF047A"/>
    <w:rsid w:val="00DF0D64"/>
    <w:rsid w:val="00DF1D90"/>
    <w:rsid w:val="00DF2ED0"/>
    <w:rsid w:val="00DF4695"/>
    <w:rsid w:val="00DF49B4"/>
    <w:rsid w:val="00DF5971"/>
    <w:rsid w:val="00DF6F53"/>
    <w:rsid w:val="00DF7412"/>
    <w:rsid w:val="00E012D5"/>
    <w:rsid w:val="00E016ED"/>
    <w:rsid w:val="00E01EEE"/>
    <w:rsid w:val="00E02121"/>
    <w:rsid w:val="00E038B4"/>
    <w:rsid w:val="00E039E1"/>
    <w:rsid w:val="00E04CA3"/>
    <w:rsid w:val="00E052C7"/>
    <w:rsid w:val="00E0744D"/>
    <w:rsid w:val="00E1063A"/>
    <w:rsid w:val="00E114E6"/>
    <w:rsid w:val="00E116C7"/>
    <w:rsid w:val="00E11908"/>
    <w:rsid w:val="00E11AB1"/>
    <w:rsid w:val="00E121FF"/>
    <w:rsid w:val="00E14DC7"/>
    <w:rsid w:val="00E157B4"/>
    <w:rsid w:val="00E16780"/>
    <w:rsid w:val="00E17EC8"/>
    <w:rsid w:val="00E213F1"/>
    <w:rsid w:val="00E23B5D"/>
    <w:rsid w:val="00E24100"/>
    <w:rsid w:val="00E24D51"/>
    <w:rsid w:val="00E27984"/>
    <w:rsid w:val="00E33ACE"/>
    <w:rsid w:val="00E367C1"/>
    <w:rsid w:val="00E37312"/>
    <w:rsid w:val="00E37B3F"/>
    <w:rsid w:val="00E404EB"/>
    <w:rsid w:val="00E409C6"/>
    <w:rsid w:val="00E40A7E"/>
    <w:rsid w:val="00E42908"/>
    <w:rsid w:val="00E44021"/>
    <w:rsid w:val="00E44906"/>
    <w:rsid w:val="00E44B9E"/>
    <w:rsid w:val="00E44DF5"/>
    <w:rsid w:val="00E46817"/>
    <w:rsid w:val="00E46A05"/>
    <w:rsid w:val="00E50260"/>
    <w:rsid w:val="00E505F7"/>
    <w:rsid w:val="00E51C99"/>
    <w:rsid w:val="00E51F69"/>
    <w:rsid w:val="00E545B1"/>
    <w:rsid w:val="00E54721"/>
    <w:rsid w:val="00E549B2"/>
    <w:rsid w:val="00E55B1D"/>
    <w:rsid w:val="00E60507"/>
    <w:rsid w:val="00E611E1"/>
    <w:rsid w:val="00E61BEC"/>
    <w:rsid w:val="00E6294D"/>
    <w:rsid w:val="00E63B49"/>
    <w:rsid w:val="00E65091"/>
    <w:rsid w:val="00E652F1"/>
    <w:rsid w:val="00E65FDC"/>
    <w:rsid w:val="00E6676A"/>
    <w:rsid w:val="00E6694B"/>
    <w:rsid w:val="00E71903"/>
    <w:rsid w:val="00E71F81"/>
    <w:rsid w:val="00E72546"/>
    <w:rsid w:val="00E741C3"/>
    <w:rsid w:val="00E74346"/>
    <w:rsid w:val="00E749DB"/>
    <w:rsid w:val="00E75992"/>
    <w:rsid w:val="00E75C00"/>
    <w:rsid w:val="00E77338"/>
    <w:rsid w:val="00E81985"/>
    <w:rsid w:val="00E820E9"/>
    <w:rsid w:val="00E83DB0"/>
    <w:rsid w:val="00E8614D"/>
    <w:rsid w:val="00E872BE"/>
    <w:rsid w:val="00E8770B"/>
    <w:rsid w:val="00E90927"/>
    <w:rsid w:val="00E9163E"/>
    <w:rsid w:val="00E919FE"/>
    <w:rsid w:val="00E92DC9"/>
    <w:rsid w:val="00E94910"/>
    <w:rsid w:val="00E95D7E"/>
    <w:rsid w:val="00E96E0C"/>
    <w:rsid w:val="00E96FEF"/>
    <w:rsid w:val="00EA0641"/>
    <w:rsid w:val="00EA14B8"/>
    <w:rsid w:val="00EA2B7E"/>
    <w:rsid w:val="00EA2E41"/>
    <w:rsid w:val="00EA35CA"/>
    <w:rsid w:val="00EA5375"/>
    <w:rsid w:val="00EA5389"/>
    <w:rsid w:val="00EA5611"/>
    <w:rsid w:val="00EA61EB"/>
    <w:rsid w:val="00EA6A34"/>
    <w:rsid w:val="00EA79C9"/>
    <w:rsid w:val="00EB1ABB"/>
    <w:rsid w:val="00EB3C15"/>
    <w:rsid w:val="00EB4C3D"/>
    <w:rsid w:val="00EB5550"/>
    <w:rsid w:val="00EB5AEB"/>
    <w:rsid w:val="00EC01AB"/>
    <w:rsid w:val="00EC091E"/>
    <w:rsid w:val="00EC0C81"/>
    <w:rsid w:val="00EC1325"/>
    <w:rsid w:val="00EC1367"/>
    <w:rsid w:val="00EC18CE"/>
    <w:rsid w:val="00EC1B49"/>
    <w:rsid w:val="00EC21C2"/>
    <w:rsid w:val="00EC360D"/>
    <w:rsid w:val="00ED110F"/>
    <w:rsid w:val="00ED116C"/>
    <w:rsid w:val="00ED11AA"/>
    <w:rsid w:val="00ED121A"/>
    <w:rsid w:val="00ED129A"/>
    <w:rsid w:val="00ED193D"/>
    <w:rsid w:val="00ED1B5C"/>
    <w:rsid w:val="00ED1C41"/>
    <w:rsid w:val="00ED26FE"/>
    <w:rsid w:val="00ED393D"/>
    <w:rsid w:val="00ED5C20"/>
    <w:rsid w:val="00ED69AA"/>
    <w:rsid w:val="00ED79D1"/>
    <w:rsid w:val="00ED7B11"/>
    <w:rsid w:val="00EE0960"/>
    <w:rsid w:val="00EE284A"/>
    <w:rsid w:val="00EE391E"/>
    <w:rsid w:val="00EE4834"/>
    <w:rsid w:val="00EE5D73"/>
    <w:rsid w:val="00EF276C"/>
    <w:rsid w:val="00EF55A7"/>
    <w:rsid w:val="00EF6888"/>
    <w:rsid w:val="00EF7ED0"/>
    <w:rsid w:val="00F00600"/>
    <w:rsid w:val="00F0068D"/>
    <w:rsid w:val="00F00984"/>
    <w:rsid w:val="00F01C9E"/>
    <w:rsid w:val="00F02706"/>
    <w:rsid w:val="00F03377"/>
    <w:rsid w:val="00F03434"/>
    <w:rsid w:val="00F04522"/>
    <w:rsid w:val="00F04A5D"/>
    <w:rsid w:val="00F070B9"/>
    <w:rsid w:val="00F106DE"/>
    <w:rsid w:val="00F10756"/>
    <w:rsid w:val="00F111BE"/>
    <w:rsid w:val="00F144EE"/>
    <w:rsid w:val="00F1473B"/>
    <w:rsid w:val="00F15447"/>
    <w:rsid w:val="00F15AB9"/>
    <w:rsid w:val="00F171EB"/>
    <w:rsid w:val="00F208F5"/>
    <w:rsid w:val="00F2189A"/>
    <w:rsid w:val="00F234DD"/>
    <w:rsid w:val="00F251C9"/>
    <w:rsid w:val="00F27B2C"/>
    <w:rsid w:val="00F30E06"/>
    <w:rsid w:val="00F320CC"/>
    <w:rsid w:val="00F320F6"/>
    <w:rsid w:val="00F328F5"/>
    <w:rsid w:val="00F3355D"/>
    <w:rsid w:val="00F3389F"/>
    <w:rsid w:val="00F351A4"/>
    <w:rsid w:val="00F35304"/>
    <w:rsid w:val="00F358F8"/>
    <w:rsid w:val="00F406A8"/>
    <w:rsid w:val="00F43653"/>
    <w:rsid w:val="00F437FE"/>
    <w:rsid w:val="00F44585"/>
    <w:rsid w:val="00F4719F"/>
    <w:rsid w:val="00F47EFA"/>
    <w:rsid w:val="00F5133C"/>
    <w:rsid w:val="00F51799"/>
    <w:rsid w:val="00F52D8A"/>
    <w:rsid w:val="00F541C5"/>
    <w:rsid w:val="00F54C10"/>
    <w:rsid w:val="00F54F23"/>
    <w:rsid w:val="00F552EE"/>
    <w:rsid w:val="00F557DC"/>
    <w:rsid w:val="00F5619D"/>
    <w:rsid w:val="00F5672D"/>
    <w:rsid w:val="00F567E4"/>
    <w:rsid w:val="00F57396"/>
    <w:rsid w:val="00F57C63"/>
    <w:rsid w:val="00F60079"/>
    <w:rsid w:val="00F61D23"/>
    <w:rsid w:val="00F63669"/>
    <w:rsid w:val="00F63843"/>
    <w:rsid w:val="00F63C11"/>
    <w:rsid w:val="00F648A3"/>
    <w:rsid w:val="00F650A2"/>
    <w:rsid w:val="00F65E4F"/>
    <w:rsid w:val="00F66113"/>
    <w:rsid w:val="00F66908"/>
    <w:rsid w:val="00F66E27"/>
    <w:rsid w:val="00F671E9"/>
    <w:rsid w:val="00F67AA2"/>
    <w:rsid w:val="00F67C0F"/>
    <w:rsid w:val="00F703AB"/>
    <w:rsid w:val="00F70A37"/>
    <w:rsid w:val="00F733A1"/>
    <w:rsid w:val="00F733F7"/>
    <w:rsid w:val="00F7340B"/>
    <w:rsid w:val="00F73AFE"/>
    <w:rsid w:val="00F745AC"/>
    <w:rsid w:val="00F75BE7"/>
    <w:rsid w:val="00F766A0"/>
    <w:rsid w:val="00F76AD0"/>
    <w:rsid w:val="00F81413"/>
    <w:rsid w:val="00F829F9"/>
    <w:rsid w:val="00F8439F"/>
    <w:rsid w:val="00F843EB"/>
    <w:rsid w:val="00F850A1"/>
    <w:rsid w:val="00F8760C"/>
    <w:rsid w:val="00F87D84"/>
    <w:rsid w:val="00F92154"/>
    <w:rsid w:val="00F923BD"/>
    <w:rsid w:val="00F92F50"/>
    <w:rsid w:val="00F934A3"/>
    <w:rsid w:val="00FA0398"/>
    <w:rsid w:val="00FA1487"/>
    <w:rsid w:val="00FA16BA"/>
    <w:rsid w:val="00FA31BB"/>
    <w:rsid w:val="00FA3285"/>
    <w:rsid w:val="00FA3EFC"/>
    <w:rsid w:val="00FA4CCB"/>
    <w:rsid w:val="00FA547A"/>
    <w:rsid w:val="00FA5CB2"/>
    <w:rsid w:val="00FA69FB"/>
    <w:rsid w:val="00FB16CB"/>
    <w:rsid w:val="00FB18C9"/>
    <w:rsid w:val="00FB232E"/>
    <w:rsid w:val="00FB25A1"/>
    <w:rsid w:val="00FB2729"/>
    <w:rsid w:val="00FB49D7"/>
    <w:rsid w:val="00FB4BA6"/>
    <w:rsid w:val="00FB5C24"/>
    <w:rsid w:val="00FB6698"/>
    <w:rsid w:val="00FB67C2"/>
    <w:rsid w:val="00FB6D6A"/>
    <w:rsid w:val="00FB7528"/>
    <w:rsid w:val="00FC0540"/>
    <w:rsid w:val="00FC0C9A"/>
    <w:rsid w:val="00FC1EFA"/>
    <w:rsid w:val="00FC29AF"/>
    <w:rsid w:val="00FC4D78"/>
    <w:rsid w:val="00FC5875"/>
    <w:rsid w:val="00FC7AD8"/>
    <w:rsid w:val="00FC7BDC"/>
    <w:rsid w:val="00FD3AC2"/>
    <w:rsid w:val="00FD3EED"/>
    <w:rsid w:val="00FD4F41"/>
    <w:rsid w:val="00FD605F"/>
    <w:rsid w:val="00FD6A42"/>
    <w:rsid w:val="00FE0E0D"/>
    <w:rsid w:val="00FE2CD2"/>
    <w:rsid w:val="00FE2FC2"/>
    <w:rsid w:val="00FE3680"/>
    <w:rsid w:val="00FE7A57"/>
    <w:rsid w:val="00FF036C"/>
    <w:rsid w:val="00FF0C6A"/>
    <w:rsid w:val="00FF1792"/>
    <w:rsid w:val="00FF39D8"/>
    <w:rsid w:val="00FF3C86"/>
    <w:rsid w:val="00FF52B2"/>
    <w:rsid w:val="00FF6C92"/>
    <w:rsid w:val="00FF6D64"/>
    <w:rsid w:val="00FF714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FAB36"/>
  <w15:chartTrackingRefBased/>
  <w15:docId w15:val="{F5B3C4BE-F063-4351-9592-7CC7AC4D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398"/>
    <w:pPr>
      <w:spacing w:after="0" w:line="276" w:lineRule="auto"/>
    </w:pPr>
    <w:rPr>
      <w:rFonts w:eastAsia="Arial" w:cs="Arial"/>
      <w:lang w:val="en-GB"/>
    </w:rPr>
  </w:style>
  <w:style w:type="paragraph" w:styleId="Heading1">
    <w:name w:val="heading 1"/>
    <w:basedOn w:val="Normal"/>
    <w:next w:val="Normal"/>
    <w:link w:val="Heading1Char"/>
    <w:autoRedefine/>
    <w:uiPriority w:val="9"/>
    <w:qFormat/>
    <w:rsid w:val="00DD22F5"/>
    <w:pPr>
      <w:numPr>
        <w:numId w:val="29"/>
      </w:numPr>
      <w:outlineLvl w:val="0"/>
    </w:pPr>
    <w:rPr>
      <w:rFonts w:ascii="Times New Roman" w:hAnsi="Times New Roman"/>
      <w:b/>
      <w:lang w:val="en-US"/>
    </w:rPr>
  </w:style>
  <w:style w:type="paragraph" w:styleId="Heading2">
    <w:name w:val="heading 2"/>
    <w:basedOn w:val="ListParagraph"/>
    <w:next w:val="Normal"/>
    <w:link w:val="Heading2Char"/>
    <w:uiPriority w:val="9"/>
    <w:unhideWhenUsed/>
    <w:qFormat/>
    <w:rsid w:val="00163848"/>
    <w:pPr>
      <w:numPr>
        <w:numId w:val="6"/>
      </w:numPr>
      <w:outlineLvl w:val="1"/>
    </w:pPr>
    <w:rPr>
      <w:rFonts w:ascii="Times New Roman" w:hAnsi="Times New Roman" w:cs="Times New Roman"/>
      <w:b/>
      <w:i/>
    </w:rPr>
  </w:style>
  <w:style w:type="paragraph" w:styleId="Heading3">
    <w:name w:val="heading 3"/>
    <w:basedOn w:val="ListParagraph"/>
    <w:next w:val="Normal"/>
    <w:link w:val="Heading3Char"/>
    <w:uiPriority w:val="9"/>
    <w:unhideWhenUsed/>
    <w:qFormat/>
    <w:rsid w:val="00F3389F"/>
    <w:pPr>
      <w:numPr>
        <w:numId w:val="7"/>
      </w:numPr>
      <w:outlineLvl w:val="2"/>
    </w:pPr>
    <w:rPr>
      <w:rFonts w:ascii="Times New Roman" w:hAnsi="Times New Roman" w:cs="Times New Roman"/>
      <w:i/>
    </w:rPr>
  </w:style>
  <w:style w:type="paragraph" w:styleId="Heading4">
    <w:name w:val="heading 4"/>
    <w:basedOn w:val="ListParagraph"/>
    <w:next w:val="Normal"/>
    <w:link w:val="Heading4Char"/>
    <w:uiPriority w:val="9"/>
    <w:unhideWhenUsed/>
    <w:qFormat/>
    <w:rsid w:val="00F3389F"/>
    <w:pPr>
      <w:numPr>
        <w:numId w:val="9"/>
      </w:numPr>
      <w:outlineLvl w:val="3"/>
    </w:pPr>
    <w:rPr>
      <w:rFonts w:ascii="Times New Roman" w:hAnsi="Times New Roman" w:cs="Times New Roman"/>
    </w:rPr>
  </w:style>
  <w:style w:type="paragraph" w:styleId="Heading5">
    <w:name w:val="heading 5"/>
    <w:basedOn w:val="ListParagraph"/>
    <w:next w:val="Normal"/>
    <w:link w:val="Heading5Char"/>
    <w:uiPriority w:val="9"/>
    <w:unhideWhenUsed/>
    <w:qFormat/>
    <w:rsid w:val="00F3389F"/>
    <w:pPr>
      <w:numPr>
        <w:numId w:val="11"/>
      </w:numPr>
      <w:outlineLvl w:val="4"/>
    </w:pPr>
    <w:rPr>
      <w:rFonts w:ascii="Times New Roman" w:hAnsi="Times New Roman" w:cs="Times New Roman"/>
      <w:smallCaps/>
    </w:rPr>
  </w:style>
  <w:style w:type="paragraph" w:styleId="Heading6">
    <w:name w:val="heading 6"/>
    <w:basedOn w:val="Normal"/>
    <w:next w:val="Normal"/>
    <w:link w:val="Heading6Char"/>
    <w:uiPriority w:val="9"/>
    <w:unhideWhenUsed/>
    <w:qFormat/>
    <w:rsid w:val="0016384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6384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A2B61"/>
  </w:style>
  <w:style w:type="numbering" w:customStyle="1" w:styleId="SAL">
    <w:name w:val="SAL"/>
    <w:uiPriority w:val="99"/>
    <w:rsid w:val="006A2B61"/>
    <w:pPr>
      <w:numPr>
        <w:numId w:val="1"/>
      </w:numPr>
    </w:pPr>
  </w:style>
  <w:style w:type="paragraph" w:styleId="Header">
    <w:name w:val="header"/>
    <w:basedOn w:val="Normal"/>
    <w:link w:val="HeaderChar"/>
    <w:uiPriority w:val="99"/>
    <w:unhideWhenUsed/>
    <w:rsid w:val="00653164"/>
    <w:pPr>
      <w:tabs>
        <w:tab w:val="center" w:pos="4513"/>
        <w:tab w:val="right" w:pos="9026"/>
      </w:tabs>
    </w:pPr>
  </w:style>
  <w:style w:type="character" w:customStyle="1" w:styleId="HeaderChar">
    <w:name w:val="Header Char"/>
    <w:basedOn w:val="DefaultParagraphFont"/>
    <w:link w:val="Header"/>
    <w:uiPriority w:val="99"/>
    <w:rsid w:val="00653164"/>
  </w:style>
  <w:style w:type="paragraph" w:styleId="Footer">
    <w:name w:val="footer"/>
    <w:basedOn w:val="Normal"/>
    <w:link w:val="FooterChar"/>
    <w:uiPriority w:val="99"/>
    <w:unhideWhenUsed/>
    <w:rsid w:val="00653164"/>
    <w:pPr>
      <w:tabs>
        <w:tab w:val="center" w:pos="4513"/>
        <w:tab w:val="right" w:pos="9026"/>
      </w:tabs>
    </w:pPr>
  </w:style>
  <w:style w:type="character" w:customStyle="1" w:styleId="FooterChar">
    <w:name w:val="Footer Char"/>
    <w:basedOn w:val="DefaultParagraphFont"/>
    <w:link w:val="Footer"/>
    <w:uiPriority w:val="99"/>
    <w:rsid w:val="00653164"/>
  </w:style>
  <w:style w:type="paragraph" w:styleId="FootnoteText">
    <w:name w:val="footnote text"/>
    <w:basedOn w:val="Normal"/>
    <w:link w:val="FootnoteTextChar"/>
    <w:uiPriority w:val="99"/>
    <w:unhideWhenUsed/>
    <w:rsid w:val="00E27984"/>
    <w:rPr>
      <w:sz w:val="20"/>
      <w:szCs w:val="20"/>
    </w:rPr>
  </w:style>
  <w:style w:type="character" w:customStyle="1" w:styleId="FootnoteTextChar">
    <w:name w:val="Footnote Text Char"/>
    <w:basedOn w:val="DefaultParagraphFont"/>
    <w:link w:val="FootnoteText"/>
    <w:uiPriority w:val="99"/>
    <w:rsid w:val="00E27984"/>
    <w:rPr>
      <w:sz w:val="20"/>
      <w:szCs w:val="20"/>
    </w:rPr>
  </w:style>
  <w:style w:type="character" w:styleId="FootnoteReference">
    <w:name w:val="footnote reference"/>
    <w:basedOn w:val="DefaultParagraphFont"/>
    <w:uiPriority w:val="99"/>
    <w:semiHidden/>
    <w:unhideWhenUsed/>
    <w:rsid w:val="00E27984"/>
    <w:rPr>
      <w:vertAlign w:val="superscript"/>
    </w:rPr>
  </w:style>
  <w:style w:type="character" w:styleId="CommentReference">
    <w:name w:val="annotation reference"/>
    <w:basedOn w:val="DefaultParagraphFont"/>
    <w:uiPriority w:val="99"/>
    <w:semiHidden/>
    <w:unhideWhenUsed/>
    <w:rsid w:val="00F00600"/>
    <w:rPr>
      <w:sz w:val="16"/>
      <w:szCs w:val="16"/>
    </w:rPr>
  </w:style>
  <w:style w:type="paragraph" w:styleId="CommentText">
    <w:name w:val="annotation text"/>
    <w:basedOn w:val="Normal"/>
    <w:link w:val="CommentTextChar"/>
    <w:uiPriority w:val="99"/>
    <w:unhideWhenUsed/>
    <w:rsid w:val="00F00600"/>
    <w:rPr>
      <w:sz w:val="20"/>
      <w:szCs w:val="20"/>
    </w:rPr>
  </w:style>
  <w:style w:type="character" w:customStyle="1" w:styleId="CommentTextChar">
    <w:name w:val="Comment Text Char"/>
    <w:basedOn w:val="DefaultParagraphFont"/>
    <w:link w:val="CommentText"/>
    <w:uiPriority w:val="99"/>
    <w:rsid w:val="00F00600"/>
    <w:rPr>
      <w:sz w:val="20"/>
      <w:szCs w:val="20"/>
    </w:rPr>
  </w:style>
  <w:style w:type="paragraph" w:styleId="CommentSubject">
    <w:name w:val="annotation subject"/>
    <w:basedOn w:val="CommentText"/>
    <w:next w:val="CommentText"/>
    <w:link w:val="CommentSubjectChar"/>
    <w:uiPriority w:val="99"/>
    <w:semiHidden/>
    <w:unhideWhenUsed/>
    <w:rsid w:val="00F00600"/>
    <w:rPr>
      <w:b/>
      <w:bCs/>
    </w:rPr>
  </w:style>
  <w:style w:type="character" w:customStyle="1" w:styleId="CommentSubjectChar">
    <w:name w:val="Comment Subject Char"/>
    <w:basedOn w:val="CommentTextChar"/>
    <w:link w:val="CommentSubject"/>
    <w:uiPriority w:val="99"/>
    <w:semiHidden/>
    <w:rsid w:val="00F00600"/>
    <w:rPr>
      <w:b/>
      <w:bCs/>
      <w:sz w:val="20"/>
      <w:szCs w:val="20"/>
    </w:rPr>
  </w:style>
  <w:style w:type="paragraph" w:styleId="BalloonText">
    <w:name w:val="Balloon Text"/>
    <w:basedOn w:val="Normal"/>
    <w:link w:val="BalloonTextChar"/>
    <w:uiPriority w:val="99"/>
    <w:semiHidden/>
    <w:unhideWhenUsed/>
    <w:rsid w:val="00F00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600"/>
    <w:rPr>
      <w:rFonts w:ascii="Segoe UI" w:hAnsi="Segoe UI" w:cs="Segoe UI"/>
      <w:sz w:val="18"/>
      <w:szCs w:val="18"/>
    </w:rPr>
  </w:style>
  <w:style w:type="character" w:customStyle="1" w:styleId="Heading1Char">
    <w:name w:val="Heading 1 Char"/>
    <w:basedOn w:val="DefaultParagraphFont"/>
    <w:link w:val="Heading1"/>
    <w:uiPriority w:val="9"/>
    <w:rsid w:val="00DD22F5"/>
    <w:rPr>
      <w:rFonts w:ascii="Times New Roman" w:eastAsia="Arial" w:hAnsi="Times New Roman" w:cs="Arial"/>
      <w:b/>
      <w:lang w:val="en-US"/>
    </w:rPr>
  </w:style>
  <w:style w:type="character" w:customStyle="1" w:styleId="Heading2Char">
    <w:name w:val="Heading 2 Char"/>
    <w:basedOn w:val="DefaultParagraphFont"/>
    <w:link w:val="Heading2"/>
    <w:uiPriority w:val="9"/>
    <w:rsid w:val="00163848"/>
    <w:rPr>
      <w:rFonts w:ascii="Times New Roman" w:hAnsi="Times New Roman" w:cs="Times New Roman"/>
      <w:b/>
      <w:i/>
      <w:sz w:val="24"/>
      <w:szCs w:val="24"/>
    </w:rPr>
  </w:style>
  <w:style w:type="paragraph" w:styleId="TOC1">
    <w:name w:val="toc 1"/>
    <w:basedOn w:val="Normal"/>
    <w:next w:val="Normal"/>
    <w:autoRedefine/>
    <w:uiPriority w:val="39"/>
    <w:unhideWhenUsed/>
    <w:rsid w:val="00B26A6C"/>
    <w:pPr>
      <w:spacing w:before="120" w:after="120"/>
    </w:pPr>
    <w:rPr>
      <w:rFonts w:cstheme="minorHAnsi"/>
      <w:b/>
      <w:bCs/>
      <w:caps/>
      <w:sz w:val="20"/>
      <w:szCs w:val="20"/>
    </w:rPr>
  </w:style>
  <w:style w:type="paragraph" w:styleId="TOC2">
    <w:name w:val="toc 2"/>
    <w:basedOn w:val="Normal"/>
    <w:next w:val="Normal"/>
    <w:autoRedefine/>
    <w:uiPriority w:val="39"/>
    <w:unhideWhenUsed/>
    <w:rsid w:val="00B26A6C"/>
    <w:pPr>
      <w:ind w:left="220"/>
    </w:pPr>
    <w:rPr>
      <w:rFonts w:cstheme="minorHAnsi"/>
      <w:smallCaps/>
      <w:sz w:val="20"/>
      <w:szCs w:val="20"/>
    </w:rPr>
  </w:style>
  <w:style w:type="character" w:styleId="Hyperlink">
    <w:name w:val="Hyperlink"/>
    <w:basedOn w:val="DefaultParagraphFont"/>
    <w:uiPriority w:val="99"/>
    <w:unhideWhenUsed/>
    <w:rsid w:val="00B26A6C"/>
    <w:rPr>
      <w:color w:val="0563C1" w:themeColor="hyperlink"/>
      <w:u w:val="single"/>
    </w:rPr>
  </w:style>
  <w:style w:type="paragraph" w:styleId="TOCHeading">
    <w:name w:val="TOC Heading"/>
    <w:basedOn w:val="Heading1"/>
    <w:next w:val="Normal"/>
    <w:uiPriority w:val="39"/>
    <w:unhideWhenUsed/>
    <w:qFormat/>
    <w:rsid w:val="00F3389F"/>
    <w:pPr>
      <w:keepNext/>
      <w:keepLines/>
      <w:spacing w:line="259" w:lineRule="auto"/>
      <w:outlineLvl w:val="9"/>
    </w:pPr>
    <w:rPr>
      <w:rFonts w:asciiTheme="majorHAnsi" w:eastAsiaTheme="majorEastAsia" w:hAnsiTheme="majorHAnsi" w:cstheme="majorBidi"/>
      <w:b w:val="0"/>
      <w:color w:val="2F5496" w:themeColor="accent1" w:themeShade="BF"/>
      <w:sz w:val="32"/>
      <w:szCs w:val="32"/>
      <w:lang w:eastAsia="en-US"/>
    </w:rPr>
  </w:style>
  <w:style w:type="paragraph" w:styleId="TOC3">
    <w:name w:val="toc 3"/>
    <w:basedOn w:val="Normal"/>
    <w:next w:val="Normal"/>
    <w:autoRedefine/>
    <w:uiPriority w:val="39"/>
    <w:unhideWhenUsed/>
    <w:rsid w:val="00EE5D73"/>
    <w:pPr>
      <w:ind w:left="440"/>
    </w:pPr>
    <w:rPr>
      <w:rFonts w:cstheme="minorHAnsi"/>
      <w:i/>
      <w:iCs/>
      <w:sz w:val="20"/>
      <w:szCs w:val="20"/>
    </w:rPr>
  </w:style>
  <w:style w:type="paragraph" w:styleId="TOC4">
    <w:name w:val="toc 4"/>
    <w:basedOn w:val="Normal"/>
    <w:next w:val="Normal"/>
    <w:autoRedefine/>
    <w:uiPriority w:val="39"/>
    <w:unhideWhenUsed/>
    <w:rsid w:val="00EE5D73"/>
    <w:pPr>
      <w:ind w:left="660"/>
    </w:pPr>
    <w:rPr>
      <w:rFonts w:cstheme="minorHAnsi"/>
      <w:sz w:val="18"/>
      <w:szCs w:val="18"/>
    </w:rPr>
  </w:style>
  <w:style w:type="paragraph" w:styleId="TOC5">
    <w:name w:val="toc 5"/>
    <w:basedOn w:val="Normal"/>
    <w:next w:val="Normal"/>
    <w:autoRedefine/>
    <w:uiPriority w:val="39"/>
    <w:unhideWhenUsed/>
    <w:rsid w:val="00EE5D73"/>
    <w:pPr>
      <w:ind w:left="880"/>
    </w:pPr>
    <w:rPr>
      <w:rFonts w:cstheme="minorHAnsi"/>
      <w:sz w:val="18"/>
      <w:szCs w:val="18"/>
    </w:rPr>
  </w:style>
  <w:style w:type="paragraph" w:styleId="TOC6">
    <w:name w:val="toc 6"/>
    <w:basedOn w:val="Normal"/>
    <w:next w:val="Normal"/>
    <w:autoRedefine/>
    <w:uiPriority w:val="39"/>
    <w:unhideWhenUsed/>
    <w:rsid w:val="00EE5D73"/>
    <w:pPr>
      <w:ind w:left="1100"/>
    </w:pPr>
    <w:rPr>
      <w:rFonts w:cstheme="minorHAnsi"/>
      <w:sz w:val="18"/>
      <w:szCs w:val="18"/>
    </w:rPr>
  </w:style>
  <w:style w:type="paragraph" w:styleId="TOC7">
    <w:name w:val="toc 7"/>
    <w:basedOn w:val="Normal"/>
    <w:next w:val="Normal"/>
    <w:autoRedefine/>
    <w:uiPriority w:val="39"/>
    <w:unhideWhenUsed/>
    <w:rsid w:val="00EE5D73"/>
    <w:pPr>
      <w:ind w:left="1320"/>
    </w:pPr>
    <w:rPr>
      <w:rFonts w:cstheme="minorHAnsi"/>
      <w:sz w:val="18"/>
      <w:szCs w:val="18"/>
    </w:rPr>
  </w:style>
  <w:style w:type="paragraph" w:styleId="TOC8">
    <w:name w:val="toc 8"/>
    <w:basedOn w:val="Normal"/>
    <w:next w:val="Normal"/>
    <w:autoRedefine/>
    <w:uiPriority w:val="39"/>
    <w:unhideWhenUsed/>
    <w:rsid w:val="00EE5D73"/>
    <w:pPr>
      <w:ind w:left="1540"/>
    </w:pPr>
    <w:rPr>
      <w:rFonts w:cstheme="minorHAnsi"/>
      <w:sz w:val="18"/>
      <w:szCs w:val="18"/>
    </w:rPr>
  </w:style>
  <w:style w:type="paragraph" w:styleId="TOC9">
    <w:name w:val="toc 9"/>
    <w:basedOn w:val="Normal"/>
    <w:next w:val="Normal"/>
    <w:autoRedefine/>
    <w:uiPriority w:val="39"/>
    <w:unhideWhenUsed/>
    <w:rsid w:val="00EE5D73"/>
    <w:pPr>
      <w:ind w:left="1760"/>
    </w:pPr>
    <w:rPr>
      <w:rFonts w:cstheme="minorHAnsi"/>
      <w:sz w:val="18"/>
      <w:szCs w:val="18"/>
    </w:rPr>
  </w:style>
  <w:style w:type="table" w:styleId="TableGrid">
    <w:name w:val="Table Grid"/>
    <w:basedOn w:val="TableNormal"/>
    <w:uiPriority w:val="39"/>
    <w:rsid w:val="00725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705A14"/>
  </w:style>
  <w:style w:type="character" w:customStyle="1" w:styleId="DateChar">
    <w:name w:val="Date Char"/>
    <w:basedOn w:val="DefaultParagraphFont"/>
    <w:link w:val="Date"/>
    <w:uiPriority w:val="99"/>
    <w:semiHidden/>
    <w:rsid w:val="00705A14"/>
    <w:rPr>
      <w:rFonts w:ascii="Times New Roman" w:hAnsi="Times New Roman" w:cs="Times New Roman"/>
      <w:sz w:val="24"/>
      <w:szCs w:val="24"/>
    </w:rPr>
  </w:style>
  <w:style w:type="paragraph" w:styleId="TOAHeading">
    <w:name w:val="toa heading"/>
    <w:basedOn w:val="Normal"/>
    <w:next w:val="Normal"/>
    <w:uiPriority w:val="99"/>
    <w:unhideWhenUsed/>
    <w:rsid w:val="00727F37"/>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unhideWhenUsed/>
    <w:rsid w:val="00727F37"/>
    <w:pPr>
      <w:ind w:left="240" w:hanging="240"/>
    </w:pPr>
  </w:style>
  <w:style w:type="paragraph" w:styleId="ListParagraph">
    <w:name w:val="List Paragraph"/>
    <w:basedOn w:val="Normal"/>
    <w:uiPriority w:val="34"/>
    <w:qFormat/>
    <w:rsid w:val="00F3389F"/>
    <w:pPr>
      <w:contextualSpacing/>
    </w:pPr>
  </w:style>
  <w:style w:type="character" w:customStyle="1" w:styleId="Heading3Char">
    <w:name w:val="Heading 3 Char"/>
    <w:basedOn w:val="DefaultParagraphFont"/>
    <w:link w:val="Heading3"/>
    <w:uiPriority w:val="9"/>
    <w:rsid w:val="00F3389F"/>
    <w:rPr>
      <w:rFonts w:ascii="Times New Roman" w:hAnsi="Times New Roman" w:cs="Times New Roman"/>
      <w:i/>
      <w:sz w:val="24"/>
      <w:szCs w:val="24"/>
    </w:rPr>
  </w:style>
  <w:style w:type="character" w:customStyle="1" w:styleId="Heading4Char">
    <w:name w:val="Heading 4 Char"/>
    <w:basedOn w:val="DefaultParagraphFont"/>
    <w:link w:val="Heading4"/>
    <w:uiPriority w:val="9"/>
    <w:rsid w:val="00F3389F"/>
    <w:rPr>
      <w:rFonts w:ascii="Times New Roman" w:hAnsi="Times New Roman" w:cs="Times New Roman"/>
      <w:sz w:val="24"/>
      <w:szCs w:val="24"/>
    </w:rPr>
  </w:style>
  <w:style w:type="character" w:customStyle="1" w:styleId="Heading5Char">
    <w:name w:val="Heading 5 Char"/>
    <w:basedOn w:val="DefaultParagraphFont"/>
    <w:link w:val="Heading5"/>
    <w:uiPriority w:val="9"/>
    <w:rsid w:val="00F3389F"/>
    <w:rPr>
      <w:rFonts w:ascii="Times New Roman" w:hAnsi="Times New Roman" w:cs="Times New Roman"/>
      <w:smallCaps/>
      <w:sz w:val="24"/>
      <w:szCs w:val="24"/>
    </w:rPr>
  </w:style>
  <w:style w:type="paragraph" w:styleId="NoSpacing">
    <w:name w:val="No Spacing"/>
    <w:uiPriority w:val="1"/>
    <w:qFormat/>
    <w:rsid w:val="00163848"/>
    <w:pPr>
      <w:numPr>
        <w:numId w:val="30"/>
      </w:numPr>
      <w:spacing w:after="0" w:line="360" w:lineRule="auto"/>
      <w:jc w:val="both"/>
    </w:pPr>
    <w:rPr>
      <w:rFonts w:ascii="Times New Roman" w:hAnsi="Times New Roman" w:cs="Times New Roman"/>
      <w:sz w:val="24"/>
      <w:szCs w:val="24"/>
    </w:rPr>
  </w:style>
  <w:style w:type="character" w:styleId="Strong">
    <w:name w:val="Strong"/>
    <w:basedOn w:val="DefaultParagraphFont"/>
    <w:uiPriority w:val="22"/>
    <w:qFormat/>
    <w:rsid w:val="00F3389F"/>
    <w:rPr>
      <w:b/>
      <w:bCs/>
    </w:rPr>
  </w:style>
  <w:style w:type="character" w:customStyle="1" w:styleId="Heading6Char">
    <w:name w:val="Heading 6 Char"/>
    <w:basedOn w:val="DefaultParagraphFont"/>
    <w:link w:val="Heading6"/>
    <w:uiPriority w:val="9"/>
    <w:rsid w:val="00163848"/>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sid w:val="00163848"/>
    <w:rPr>
      <w:rFonts w:asciiTheme="majorHAnsi" w:eastAsiaTheme="majorEastAsia" w:hAnsiTheme="majorHAnsi" w:cstheme="majorBidi"/>
      <w:i/>
      <w:iCs/>
      <w:color w:val="1F3763" w:themeColor="accent1" w:themeShade="7F"/>
      <w:sz w:val="24"/>
      <w:szCs w:val="24"/>
    </w:rPr>
  </w:style>
  <w:style w:type="paragraph" w:styleId="Revision">
    <w:name w:val="Revision"/>
    <w:hidden/>
    <w:uiPriority w:val="99"/>
    <w:semiHidden/>
    <w:rsid w:val="003204B3"/>
    <w:pPr>
      <w:spacing w:after="0" w:line="240" w:lineRule="auto"/>
    </w:pPr>
    <w:rPr>
      <w:rFonts w:eastAsia="Arial" w:cs="Arial"/>
      <w:lang w:val="en-GB"/>
    </w:rPr>
  </w:style>
  <w:style w:type="character" w:styleId="FollowedHyperlink">
    <w:name w:val="FollowedHyperlink"/>
    <w:basedOn w:val="DefaultParagraphFont"/>
    <w:uiPriority w:val="99"/>
    <w:semiHidden/>
    <w:unhideWhenUsed/>
    <w:rsid w:val="00CA6050"/>
    <w:rPr>
      <w:color w:val="954F72" w:themeColor="followedHyperlink"/>
      <w:u w:val="single"/>
    </w:rPr>
  </w:style>
  <w:style w:type="character" w:styleId="UnresolvedMention">
    <w:name w:val="Unresolved Mention"/>
    <w:basedOn w:val="DefaultParagraphFont"/>
    <w:uiPriority w:val="99"/>
    <w:semiHidden/>
    <w:unhideWhenUsed/>
    <w:rsid w:val="006B0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11556">
      <w:bodyDiv w:val="1"/>
      <w:marLeft w:val="0"/>
      <w:marRight w:val="0"/>
      <w:marTop w:val="0"/>
      <w:marBottom w:val="0"/>
      <w:divBdr>
        <w:top w:val="none" w:sz="0" w:space="0" w:color="auto"/>
        <w:left w:val="none" w:sz="0" w:space="0" w:color="auto"/>
        <w:bottom w:val="none" w:sz="0" w:space="0" w:color="auto"/>
        <w:right w:val="none" w:sz="0" w:space="0" w:color="auto"/>
      </w:divBdr>
    </w:div>
    <w:div w:id="531457804">
      <w:bodyDiv w:val="1"/>
      <w:marLeft w:val="0"/>
      <w:marRight w:val="0"/>
      <w:marTop w:val="0"/>
      <w:marBottom w:val="0"/>
      <w:divBdr>
        <w:top w:val="none" w:sz="0" w:space="0" w:color="auto"/>
        <w:left w:val="none" w:sz="0" w:space="0" w:color="auto"/>
        <w:bottom w:val="none" w:sz="0" w:space="0" w:color="auto"/>
        <w:right w:val="none" w:sz="0" w:space="0" w:color="auto"/>
      </w:divBdr>
    </w:div>
    <w:div w:id="626591775">
      <w:bodyDiv w:val="1"/>
      <w:marLeft w:val="0"/>
      <w:marRight w:val="0"/>
      <w:marTop w:val="0"/>
      <w:marBottom w:val="0"/>
      <w:divBdr>
        <w:top w:val="none" w:sz="0" w:space="0" w:color="auto"/>
        <w:left w:val="none" w:sz="0" w:space="0" w:color="auto"/>
        <w:bottom w:val="none" w:sz="0" w:space="0" w:color="auto"/>
        <w:right w:val="none" w:sz="0" w:space="0" w:color="auto"/>
      </w:divBdr>
    </w:div>
    <w:div w:id="659041553">
      <w:bodyDiv w:val="1"/>
      <w:marLeft w:val="0"/>
      <w:marRight w:val="0"/>
      <w:marTop w:val="0"/>
      <w:marBottom w:val="0"/>
      <w:divBdr>
        <w:top w:val="none" w:sz="0" w:space="0" w:color="auto"/>
        <w:left w:val="none" w:sz="0" w:space="0" w:color="auto"/>
        <w:bottom w:val="none" w:sz="0" w:space="0" w:color="auto"/>
        <w:right w:val="none" w:sz="0" w:space="0" w:color="auto"/>
      </w:divBdr>
    </w:div>
    <w:div w:id="1039862247">
      <w:bodyDiv w:val="1"/>
      <w:marLeft w:val="0"/>
      <w:marRight w:val="0"/>
      <w:marTop w:val="0"/>
      <w:marBottom w:val="0"/>
      <w:divBdr>
        <w:top w:val="none" w:sz="0" w:space="0" w:color="auto"/>
        <w:left w:val="none" w:sz="0" w:space="0" w:color="auto"/>
        <w:bottom w:val="none" w:sz="0" w:space="0" w:color="auto"/>
        <w:right w:val="none" w:sz="0" w:space="0" w:color="auto"/>
      </w:divBdr>
    </w:div>
    <w:div w:id="1276131119">
      <w:bodyDiv w:val="1"/>
      <w:marLeft w:val="0"/>
      <w:marRight w:val="0"/>
      <w:marTop w:val="0"/>
      <w:marBottom w:val="0"/>
      <w:divBdr>
        <w:top w:val="none" w:sz="0" w:space="0" w:color="auto"/>
        <w:left w:val="none" w:sz="0" w:space="0" w:color="auto"/>
        <w:bottom w:val="none" w:sz="0" w:space="0" w:color="auto"/>
        <w:right w:val="none" w:sz="0" w:space="0" w:color="auto"/>
      </w:divBdr>
    </w:div>
    <w:div w:id="19434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odayonline.com/singapore/doctor-acquitted-molestation-charges-tells-humiliating-painful-experience" TargetMode="External"/><Relationship Id="rId1" Type="http://schemas.openxmlformats.org/officeDocument/2006/relationships/hyperlink" Target="https://www.channelnewsasia.com/singapore/the-big-read-accused-persons-long-court-proceedings-2249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exicon%20Articles\State%20of%20Stat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E9BE-98BF-2640-B65E-747C5404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 of Statements</Template>
  <TotalTime>0</TotalTime>
  <Pages>10</Pages>
  <Words>3121</Words>
  <Characters>16486</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Adel ZAID HAMZAH</cp:lastModifiedBy>
  <cp:revision>2</cp:revision>
  <dcterms:created xsi:type="dcterms:W3CDTF">2021-10-06T03:33:00Z</dcterms:created>
  <dcterms:modified xsi:type="dcterms:W3CDTF">2021-10-06T03:33:00Z</dcterms:modified>
</cp:coreProperties>
</file>