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5EBA1" w14:textId="77777777" w:rsidR="007B6070" w:rsidRDefault="00335C2E" w:rsidP="00902ADA">
      <w:pPr>
        <w:spacing w:after="0" w:line="240" w:lineRule="auto"/>
        <w:ind w:left="720" w:hanging="720"/>
        <w:jc w:val="center"/>
        <w:rPr>
          <w:rFonts w:ascii="Times New Roman" w:hAnsi="Times New Roman" w:cs="Times New Roman"/>
          <w:b/>
          <w:bCs/>
          <w:sz w:val="24"/>
          <w:szCs w:val="24"/>
        </w:rPr>
      </w:pPr>
      <w:r>
        <w:rPr>
          <w:rFonts w:ascii="Times New Roman" w:hAnsi="Times New Roman" w:cs="Times New Roman"/>
          <w:b/>
          <w:bCs/>
          <w:sz w:val="24"/>
          <w:szCs w:val="24"/>
        </w:rPr>
        <w:t xml:space="preserve">Clarifying the application of the </w:t>
      </w:r>
      <w:r>
        <w:rPr>
          <w:rFonts w:ascii="Times New Roman" w:hAnsi="Times New Roman" w:cs="Times New Roman"/>
          <w:b/>
          <w:bCs/>
          <w:i/>
          <w:iCs/>
          <w:sz w:val="24"/>
          <w:szCs w:val="24"/>
        </w:rPr>
        <w:t xml:space="preserve">Riddick </w:t>
      </w:r>
      <w:r>
        <w:rPr>
          <w:rFonts w:ascii="Times New Roman" w:hAnsi="Times New Roman" w:cs="Times New Roman"/>
          <w:b/>
          <w:bCs/>
          <w:sz w:val="24"/>
          <w:szCs w:val="24"/>
        </w:rPr>
        <w:t xml:space="preserve">principle: </w:t>
      </w:r>
    </w:p>
    <w:p w14:paraId="39BACAD2" w14:textId="2F7F58FF" w:rsidR="00335C2E" w:rsidRPr="00335C2E" w:rsidRDefault="00335C2E" w:rsidP="00902ADA">
      <w:pPr>
        <w:spacing w:after="0" w:line="240" w:lineRule="auto"/>
        <w:ind w:left="720" w:hanging="720"/>
        <w:jc w:val="center"/>
        <w:rPr>
          <w:rFonts w:ascii="Times New Roman" w:hAnsi="Times New Roman" w:cs="Times New Roman"/>
          <w:b/>
          <w:bCs/>
          <w:sz w:val="24"/>
          <w:szCs w:val="24"/>
        </w:rPr>
      </w:pPr>
      <w:r>
        <w:rPr>
          <w:rFonts w:ascii="Times New Roman" w:hAnsi="Times New Roman" w:cs="Times New Roman"/>
          <w:b/>
          <w:bCs/>
          <w:i/>
          <w:iCs/>
          <w:sz w:val="24"/>
          <w:szCs w:val="24"/>
        </w:rPr>
        <w:t xml:space="preserve">Ong Jane Rebecca v Lim Lie </w:t>
      </w:r>
      <w:proofErr w:type="spellStart"/>
      <w:r>
        <w:rPr>
          <w:rFonts w:ascii="Times New Roman" w:hAnsi="Times New Roman" w:cs="Times New Roman"/>
          <w:b/>
          <w:bCs/>
          <w:i/>
          <w:iCs/>
          <w:sz w:val="24"/>
          <w:szCs w:val="24"/>
        </w:rPr>
        <w:t>Hoa</w:t>
      </w:r>
      <w:proofErr w:type="spellEnd"/>
      <w:r>
        <w:rPr>
          <w:rFonts w:ascii="Times New Roman" w:hAnsi="Times New Roman" w:cs="Times New Roman"/>
          <w:b/>
          <w:bCs/>
          <w:i/>
          <w:iCs/>
          <w:sz w:val="24"/>
          <w:szCs w:val="24"/>
        </w:rPr>
        <w:t xml:space="preserve"> </w:t>
      </w:r>
      <w:bookmarkStart w:id="0" w:name="_Hlk123588468"/>
      <w:r>
        <w:rPr>
          <w:rFonts w:ascii="Times New Roman" w:hAnsi="Times New Roman" w:cs="Times New Roman"/>
          <w:b/>
          <w:bCs/>
          <w:i/>
          <w:iCs/>
          <w:sz w:val="24"/>
          <w:szCs w:val="24"/>
        </w:rPr>
        <w:t xml:space="preserve">and other appeals and other matters </w:t>
      </w:r>
      <w:bookmarkEnd w:id="0"/>
      <w:r>
        <w:rPr>
          <w:rFonts w:ascii="Times New Roman" w:hAnsi="Times New Roman" w:cs="Times New Roman"/>
          <w:b/>
          <w:bCs/>
          <w:sz w:val="24"/>
          <w:szCs w:val="24"/>
        </w:rPr>
        <w:t>[2021] SGCA 63</w:t>
      </w:r>
    </w:p>
    <w:p w14:paraId="4472A3EF" w14:textId="77777777" w:rsidR="00A83B09" w:rsidRDefault="00A83B09" w:rsidP="006A2165">
      <w:pPr>
        <w:spacing w:after="0" w:line="240" w:lineRule="auto"/>
        <w:ind w:left="720" w:hanging="720"/>
        <w:jc w:val="both"/>
      </w:pPr>
    </w:p>
    <w:p w14:paraId="04778E78" w14:textId="6D0ED532" w:rsidR="004E58B2" w:rsidRDefault="003E6977" w:rsidP="006A2165">
      <w:pPr>
        <w:numPr>
          <w:ilvl w:val="0"/>
          <w:numId w:val="5"/>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Executive Summary</w:t>
      </w:r>
    </w:p>
    <w:p w14:paraId="3F1C3E5C" w14:textId="407DC018" w:rsidR="0063690A" w:rsidRDefault="009E390B" w:rsidP="006A2165">
      <w:pPr>
        <w:pStyle w:val="NoSpacing"/>
        <w:numPr>
          <w:ilvl w:val="0"/>
          <w:numId w:val="0"/>
        </w:numPr>
      </w:pPr>
      <w:r>
        <w:t xml:space="preserve">At the discovery stage of </w:t>
      </w:r>
      <w:r w:rsidR="00B07D56">
        <w:t xml:space="preserve">a trial, parties are expected to </w:t>
      </w:r>
      <w:r w:rsidR="00B07D56" w:rsidRPr="000A2E72">
        <w:rPr>
          <w:color w:val="282624"/>
          <w:shd w:val="clear" w:color="auto" w:fill="FFFFFF"/>
        </w:rPr>
        <w:t>disclose to each other relevant documents in their possession, custody or power relating to the claim</w:t>
      </w:r>
      <w:r w:rsidR="00B07D56">
        <w:rPr>
          <w:color w:val="282624"/>
          <w:shd w:val="clear" w:color="auto" w:fill="FFFFFF"/>
        </w:rPr>
        <w:t xml:space="preserve">. </w:t>
      </w:r>
      <w:r w:rsidR="008F1F44">
        <w:t xml:space="preserve">The law on discovery of documents entails a fine balancing process </w:t>
      </w:r>
      <w:r w:rsidR="008F1F44" w:rsidRPr="002A3737">
        <w:t xml:space="preserve">between the </w:t>
      </w:r>
      <w:r w:rsidR="008F1F44">
        <w:t xml:space="preserve">discovery of truth in the name of justice and the protection of confidential information. </w:t>
      </w:r>
      <w:r w:rsidR="008F1F44" w:rsidRPr="002A3737">
        <w:t xml:space="preserve">Against this backdrop, </w:t>
      </w:r>
      <w:r w:rsidR="008F1F44">
        <w:t>the</w:t>
      </w:r>
      <w:r w:rsidR="008F1F44" w:rsidRPr="001A728D">
        <w:rPr>
          <w:i/>
          <w:iCs/>
        </w:rPr>
        <w:t xml:space="preserve"> </w:t>
      </w:r>
      <w:r w:rsidR="008F1F44">
        <w:t>“</w:t>
      </w:r>
      <w:r w:rsidR="008F1F44" w:rsidRPr="001A728D">
        <w:rPr>
          <w:i/>
          <w:iCs/>
        </w:rPr>
        <w:t>Riddick</w:t>
      </w:r>
      <w:r w:rsidR="008F1F44" w:rsidRPr="001A728D">
        <w:rPr>
          <w:b/>
          <w:bCs/>
          <w:i/>
          <w:iCs/>
        </w:rPr>
        <w:t xml:space="preserve"> </w:t>
      </w:r>
      <w:r w:rsidR="008F1F44" w:rsidRPr="002A3737">
        <w:t>undertaking</w:t>
      </w:r>
      <w:r w:rsidR="008F1F44">
        <w:t xml:space="preserve">”, first enunciated in </w:t>
      </w:r>
      <w:r w:rsidR="008F1F44" w:rsidRPr="001A728D">
        <w:rPr>
          <w:i/>
          <w:iCs/>
        </w:rPr>
        <w:t>Riddick</w:t>
      </w:r>
      <w:r w:rsidR="008F1F44" w:rsidRPr="002A3737">
        <w:t xml:space="preserve"> </w:t>
      </w:r>
      <w:r w:rsidR="008F1F44" w:rsidRPr="001A728D">
        <w:rPr>
          <w:i/>
          <w:iCs/>
        </w:rPr>
        <w:t>v Thames Board Mills</w:t>
      </w:r>
      <w:r w:rsidR="003A2044">
        <w:rPr>
          <w:i/>
          <w:iCs/>
        </w:rPr>
        <w:t xml:space="preserve"> Ltd</w:t>
      </w:r>
      <w:r w:rsidR="00C80434" w:rsidRPr="00902ADA">
        <w:t xml:space="preserve"> </w:t>
      </w:r>
      <w:r w:rsidR="009C1962" w:rsidRPr="00902ADA">
        <w:t>[1977] QB 881</w:t>
      </w:r>
      <w:r w:rsidR="009C1962" w:rsidRPr="009C1962">
        <w:rPr>
          <w:i/>
          <w:iCs/>
        </w:rPr>
        <w:t xml:space="preserve"> </w:t>
      </w:r>
      <w:r w:rsidR="00C80434">
        <w:t>(“</w:t>
      </w:r>
      <w:r w:rsidR="00C80434" w:rsidRPr="00C80434">
        <w:rPr>
          <w:b/>
          <w:bCs/>
          <w:i/>
          <w:iCs/>
        </w:rPr>
        <w:t>Riddick</w:t>
      </w:r>
      <w:r w:rsidR="00C80434">
        <w:t>”)</w:t>
      </w:r>
      <w:r w:rsidR="008F1F44">
        <w:t>, refers to</w:t>
      </w:r>
      <w:r w:rsidR="008F1F44" w:rsidRPr="002A3737">
        <w:t xml:space="preserve"> an implied undertaking not to use disclosed documents for any collateral purpose. </w:t>
      </w:r>
    </w:p>
    <w:p w14:paraId="0DB585DF" w14:textId="77777777" w:rsidR="0063690A" w:rsidRDefault="0063690A" w:rsidP="006A2165">
      <w:pPr>
        <w:pStyle w:val="NoSpacing"/>
        <w:numPr>
          <w:ilvl w:val="0"/>
          <w:numId w:val="0"/>
        </w:numPr>
        <w:ind w:left="720"/>
      </w:pPr>
    </w:p>
    <w:p w14:paraId="64EE8724" w14:textId="50945920" w:rsidR="008F1F44" w:rsidRDefault="0088351B" w:rsidP="006A2165">
      <w:pPr>
        <w:pStyle w:val="NoSpacing"/>
        <w:numPr>
          <w:ilvl w:val="0"/>
          <w:numId w:val="0"/>
        </w:numPr>
      </w:pPr>
      <w:r>
        <w:t xml:space="preserve">The </w:t>
      </w:r>
      <w:r>
        <w:rPr>
          <w:i/>
          <w:iCs/>
        </w:rPr>
        <w:t xml:space="preserve">Riddick </w:t>
      </w:r>
      <w:r w:rsidR="008C4995">
        <w:t xml:space="preserve">undertaking </w:t>
      </w:r>
      <w:r>
        <w:t xml:space="preserve">states that </w:t>
      </w:r>
      <w:r w:rsidRPr="0088351B">
        <w:t xml:space="preserve">a party who discloses a document in discovery </w:t>
      </w:r>
      <w:r w:rsidR="00B87C36" w:rsidRPr="0088351B">
        <w:t>under compulsion</w:t>
      </w:r>
      <w:r w:rsidR="00B87C36">
        <w:t>,</w:t>
      </w:r>
      <w:r w:rsidR="00B87C36" w:rsidRPr="0088351B">
        <w:t xml:space="preserve"> </w:t>
      </w:r>
      <w:r w:rsidRPr="0088351B">
        <w:t>in an</w:t>
      </w:r>
      <w:r w:rsidR="00413ACB">
        <w:t>y particu</w:t>
      </w:r>
      <w:r w:rsidR="00B87C36">
        <w:t>lar</w:t>
      </w:r>
      <w:r w:rsidRPr="0088351B">
        <w:t xml:space="preserve"> action</w:t>
      </w:r>
      <w:r w:rsidR="00413ACB">
        <w:t>,</w:t>
      </w:r>
      <w:r w:rsidRPr="0088351B">
        <w:t xml:space="preserve"> is entitled to the protection of the court against any use of the document otherwise than in that action</w:t>
      </w:r>
      <w:r>
        <w:t xml:space="preserve">. </w:t>
      </w:r>
      <w:r w:rsidR="008F1F44" w:rsidRPr="002A3737">
        <w:t xml:space="preserve">Thus, </w:t>
      </w:r>
      <w:r w:rsidR="008F1F44">
        <w:t>a</w:t>
      </w:r>
      <w:r w:rsidR="008F1F44" w:rsidRPr="00434872">
        <w:t xml:space="preserve"> party may use the documents disclosed to him</w:t>
      </w:r>
      <w:r w:rsidR="009B791B">
        <w:t xml:space="preserve"> through discovery</w:t>
      </w:r>
      <w:r w:rsidR="008F1F44" w:rsidRPr="00434872">
        <w:t xml:space="preserve"> only</w:t>
      </w:r>
      <w:r w:rsidR="008F1F44">
        <w:t xml:space="preserve"> </w:t>
      </w:r>
      <w:r w:rsidR="008F1F44" w:rsidRPr="00434872">
        <w:t>for the proper purpose of conducting his own case</w:t>
      </w:r>
      <w:r w:rsidR="00607F19">
        <w:t>.</w:t>
      </w:r>
      <w:r w:rsidR="008F1F44" w:rsidRPr="00434872">
        <w:t xml:space="preserve"> </w:t>
      </w:r>
      <w:r w:rsidR="00607F19">
        <w:t xml:space="preserve">As such, </w:t>
      </w:r>
      <w:r w:rsidR="008F1F44" w:rsidRPr="00434872">
        <w:t>there is</w:t>
      </w:r>
      <w:r w:rsidR="008F1F44">
        <w:t xml:space="preserve"> </w:t>
      </w:r>
      <w:r w:rsidR="008F1F44" w:rsidRPr="00434872">
        <w:t>an implied undertaking</w:t>
      </w:r>
      <w:r w:rsidR="008F1F44">
        <w:t xml:space="preserve"> </w:t>
      </w:r>
      <w:r w:rsidR="008F1F44" w:rsidRPr="00434872">
        <w:t>by him not to use them for any collateral or ulterior</w:t>
      </w:r>
      <w:r w:rsidR="00B901FD">
        <w:t xml:space="preserve"> purpose</w:t>
      </w:r>
      <w:r w:rsidR="008F1F44">
        <w:t>.</w:t>
      </w:r>
    </w:p>
    <w:p w14:paraId="4171B0BC" w14:textId="77777777" w:rsidR="008F1F44" w:rsidRDefault="008F1F44" w:rsidP="006A2165">
      <w:pPr>
        <w:pStyle w:val="NoSpacing"/>
        <w:numPr>
          <w:ilvl w:val="0"/>
          <w:numId w:val="0"/>
        </w:numPr>
        <w:ind w:left="720"/>
      </w:pPr>
    </w:p>
    <w:p w14:paraId="697339A6" w14:textId="3921688E" w:rsidR="004E58B2" w:rsidRDefault="001A728D" w:rsidP="006A2165">
      <w:pPr>
        <w:pStyle w:val="NoSpacing"/>
        <w:numPr>
          <w:ilvl w:val="0"/>
          <w:numId w:val="0"/>
        </w:numPr>
      </w:pPr>
      <w:r>
        <w:t xml:space="preserve">In </w:t>
      </w:r>
      <w:r>
        <w:rPr>
          <w:i/>
          <w:iCs/>
        </w:rPr>
        <w:t xml:space="preserve">Ong Jane Rebecca v Lim Lie </w:t>
      </w:r>
      <w:proofErr w:type="spellStart"/>
      <w:r>
        <w:rPr>
          <w:i/>
          <w:iCs/>
        </w:rPr>
        <w:t>Hoa</w:t>
      </w:r>
      <w:proofErr w:type="spellEnd"/>
      <w:r w:rsidR="00E93583">
        <w:rPr>
          <w:i/>
          <w:iCs/>
        </w:rPr>
        <w:t xml:space="preserve"> </w:t>
      </w:r>
      <w:r w:rsidR="004E6904" w:rsidRPr="004E6904">
        <w:rPr>
          <w:i/>
          <w:iCs/>
        </w:rPr>
        <w:t xml:space="preserve">and other appeals and other matters </w:t>
      </w:r>
      <w:r w:rsidR="00E93583">
        <w:t>[2021] 2 SLR 584</w:t>
      </w:r>
      <w:r w:rsidR="00B901FD">
        <w:t xml:space="preserve">, the </w:t>
      </w:r>
      <w:r w:rsidR="006777B2">
        <w:t xml:space="preserve">Court of Appeal </w:t>
      </w:r>
      <w:r w:rsidR="006777B2" w:rsidRPr="002B3FAC">
        <w:t>(“</w:t>
      </w:r>
      <w:r w:rsidR="006777B2" w:rsidRPr="006777B2">
        <w:rPr>
          <w:b/>
          <w:bCs/>
        </w:rPr>
        <w:t>CA</w:t>
      </w:r>
      <w:r w:rsidR="00F15020">
        <w:t>”</w:t>
      </w:r>
      <w:r w:rsidR="006777B2">
        <w:t>)</w:t>
      </w:r>
      <w:r>
        <w:t xml:space="preserve"> </w:t>
      </w:r>
      <w:r w:rsidR="006777B2">
        <w:t xml:space="preserve">noted that there was a difference between whether a disclosed document was even subject to the </w:t>
      </w:r>
      <w:r w:rsidR="006777B2">
        <w:rPr>
          <w:i/>
          <w:iCs/>
        </w:rPr>
        <w:t xml:space="preserve">Riddick </w:t>
      </w:r>
      <w:r w:rsidR="006777B2">
        <w:t>undertaking</w:t>
      </w:r>
      <w:r w:rsidR="00F15020">
        <w:t xml:space="preserve"> in the first place,</w:t>
      </w:r>
      <w:r w:rsidR="006777B2">
        <w:t xml:space="preserve"> as opposed to whether such a document can be used in separate proceedings </w:t>
      </w:r>
      <w:r w:rsidR="006777B2">
        <w:rPr>
          <w:i/>
          <w:iCs/>
        </w:rPr>
        <w:t>with or without leave</w:t>
      </w:r>
      <w:r w:rsidR="006777B2">
        <w:t xml:space="preserve">. Noting that this distinction has at times been overlooked, the CA </w:t>
      </w:r>
      <w:r w:rsidR="00C47AD8">
        <w:t xml:space="preserve">laid out a framework delineating the approach that should be taken in cases involving the </w:t>
      </w:r>
      <w:r w:rsidR="00C47AD8">
        <w:rPr>
          <w:i/>
          <w:iCs/>
        </w:rPr>
        <w:t xml:space="preserve">Riddick </w:t>
      </w:r>
      <w:r w:rsidR="00C47AD8">
        <w:t xml:space="preserve">undertaking: </w:t>
      </w:r>
    </w:p>
    <w:p w14:paraId="6EA9BF07" w14:textId="19C85E66" w:rsidR="00C47AD8" w:rsidRDefault="00C47AD8" w:rsidP="006A2165">
      <w:pPr>
        <w:pStyle w:val="NoSpacing"/>
        <w:numPr>
          <w:ilvl w:val="1"/>
          <w:numId w:val="2"/>
        </w:numPr>
      </w:pPr>
      <w:r>
        <w:t xml:space="preserve">First, </w:t>
      </w:r>
      <w:r w:rsidRPr="00C47AD8">
        <w:t>one had to determine whether</w:t>
      </w:r>
      <w:r w:rsidR="0088351B">
        <w:t xml:space="preserve"> the documents sought to be protected were disclosed </w:t>
      </w:r>
      <w:r w:rsidR="00552177">
        <w:t xml:space="preserve">under </w:t>
      </w:r>
      <w:r w:rsidR="0088351B">
        <w:t>compulsion</w:t>
      </w:r>
      <w:r w:rsidR="0063690A">
        <w:t xml:space="preserve"> and</w:t>
      </w:r>
      <w:r w:rsidRPr="00C47AD8">
        <w:t xml:space="preserve"> </w:t>
      </w:r>
      <w:r w:rsidR="003A2044" w:rsidRPr="00C47AD8">
        <w:t>w</w:t>
      </w:r>
      <w:r w:rsidR="003A2044">
        <w:t xml:space="preserve">ere </w:t>
      </w:r>
      <w:r w:rsidR="0063690A">
        <w:t>thus</w:t>
      </w:r>
      <w:r w:rsidRPr="00C47AD8">
        <w:t xml:space="preserve"> covered by the </w:t>
      </w:r>
      <w:r w:rsidRPr="00C47AD8">
        <w:rPr>
          <w:i/>
          <w:iCs/>
        </w:rPr>
        <w:t xml:space="preserve">Riddick </w:t>
      </w:r>
      <w:r w:rsidRPr="00C47AD8">
        <w:t xml:space="preserve">undertaking. If the answer was in the negative, the documents were not protected and could be used without the leave of court. </w:t>
      </w:r>
    </w:p>
    <w:p w14:paraId="5081C721" w14:textId="0C177553" w:rsidR="00C47AD8" w:rsidRDefault="00C47AD8" w:rsidP="006A2165">
      <w:pPr>
        <w:pStyle w:val="NoSpacing"/>
        <w:numPr>
          <w:ilvl w:val="1"/>
          <w:numId w:val="2"/>
        </w:numPr>
      </w:pPr>
      <w:r>
        <w:t xml:space="preserve">Next, if the </w:t>
      </w:r>
      <w:r>
        <w:rPr>
          <w:i/>
          <w:iCs/>
        </w:rPr>
        <w:t>Riddick</w:t>
      </w:r>
      <w:r>
        <w:t xml:space="preserve"> undertaking applied (due to the element of compulsion), the court would determine whether the protected documents could nonetheless be used without leave of court, due to the nature of the related enforcement proceedings for which the documents were being used. </w:t>
      </w:r>
    </w:p>
    <w:p w14:paraId="7AFCB64F" w14:textId="36DA2095" w:rsidR="00C47AD8" w:rsidRDefault="00C47AD8" w:rsidP="006A2165">
      <w:pPr>
        <w:pStyle w:val="NoSpacing"/>
        <w:numPr>
          <w:ilvl w:val="1"/>
          <w:numId w:val="2"/>
        </w:numPr>
      </w:pPr>
      <w:r>
        <w:t xml:space="preserve">If neither of the above was satisfied, the party relying on the protected documents to commence or sustain related proceedings had to seek the court’s leave for the undertaking to be lifted. This entailed a consideration of whether the balance of interests </w:t>
      </w:r>
      <w:r w:rsidR="003A2044">
        <w:t xml:space="preserve">lay </w:t>
      </w:r>
      <w:r>
        <w:t xml:space="preserve">for or against the grant of leave. Further, if the leave sought was </w:t>
      </w:r>
      <w:r>
        <w:rPr>
          <w:i/>
          <w:iCs/>
        </w:rPr>
        <w:t>retrospective</w:t>
      </w:r>
      <w:r>
        <w:t xml:space="preserve">, the court had to consider whether this fact would militate against the granting of such leave. </w:t>
      </w:r>
    </w:p>
    <w:p w14:paraId="40136F8C" w14:textId="77777777" w:rsidR="002D5C12" w:rsidRDefault="002D5C12">
      <w:pPr>
        <w:pStyle w:val="NoSpacing"/>
        <w:numPr>
          <w:ilvl w:val="0"/>
          <w:numId w:val="0"/>
        </w:numPr>
      </w:pPr>
    </w:p>
    <w:p w14:paraId="260BA769" w14:textId="10DB537D" w:rsidR="002D5C12" w:rsidRDefault="002D5C12" w:rsidP="006A2165">
      <w:pPr>
        <w:pStyle w:val="NoSpacing"/>
        <w:numPr>
          <w:ilvl w:val="0"/>
          <w:numId w:val="0"/>
        </w:numPr>
      </w:pPr>
      <w:r>
        <w:t xml:space="preserve">This framework developed by the court </w:t>
      </w:r>
      <w:r w:rsidR="00043F24">
        <w:t xml:space="preserve">explained </w:t>
      </w:r>
      <w:r>
        <w:t xml:space="preserve">the extent and scope of the </w:t>
      </w:r>
      <w:r>
        <w:rPr>
          <w:i/>
          <w:iCs/>
        </w:rPr>
        <w:t xml:space="preserve">Riddick </w:t>
      </w:r>
      <w:r>
        <w:t xml:space="preserve">undertaking, </w:t>
      </w:r>
      <w:r w:rsidR="00F15020">
        <w:t>and</w:t>
      </w:r>
      <w:r>
        <w:t xml:space="preserve"> </w:t>
      </w:r>
      <w:r w:rsidR="000B0BD1">
        <w:t>clarified</w:t>
      </w:r>
      <w:r>
        <w:t xml:space="preserve"> the situations</w:t>
      </w:r>
      <w:r w:rsidR="004E6904">
        <w:t xml:space="preserve"> in</w:t>
      </w:r>
      <w:r>
        <w:t xml:space="preserve"> which parties seeking to use disclosed documents are required to seek leave of court. </w:t>
      </w:r>
    </w:p>
    <w:p w14:paraId="5725BA4D" w14:textId="77777777" w:rsidR="002C3A02" w:rsidRDefault="002C3A02" w:rsidP="006A2165">
      <w:pPr>
        <w:pStyle w:val="NoSpacing"/>
        <w:numPr>
          <w:ilvl w:val="0"/>
          <w:numId w:val="0"/>
        </w:numPr>
      </w:pPr>
    </w:p>
    <w:p w14:paraId="55A129CA" w14:textId="6F87E32B" w:rsidR="00A610E2" w:rsidRPr="00C3011A" w:rsidRDefault="003E6977" w:rsidP="006A2165">
      <w:pPr>
        <w:numPr>
          <w:ilvl w:val="0"/>
          <w:numId w:val="5"/>
        </w:numPr>
        <w:spacing w:after="0" w:line="240" w:lineRule="auto"/>
        <w:jc w:val="both"/>
        <w:rPr>
          <w:rFonts w:ascii="Times New Roman" w:hAnsi="Times New Roman" w:cs="Times New Roman"/>
          <w:b/>
          <w:sz w:val="24"/>
          <w:szCs w:val="24"/>
        </w:rPr>
      </w:pPr>
      <w:r w:rsidRPr="00C3011A">
        <w:rPr>
          <w:rFonts w:ascii="Times New Roman" w:hAnsi="Times New Roman" w:cs="Times New Roman"/>
          <w:b/>
          <w:sz w:val="24"/>
          <w:szCs w:val="24"/>
        </w:rPr>
        <w:t>Material Facts</w:t>
      </w:r>
    </w:p>
    <w:p w14:paraId="3BBB6A15" w14:textId="6920D070" w:rsidR="005C34F9" w:rsidRDefault="00AB27B4" w:rsidP="006A2165">
      <w:pPr>
        <w:pStyle w:val="NoSpacing"/>
        <w:numPr>
          <w:ilvl w:val="0"/>
          <w:numId w:val="0"/>
        </w:numPr>
      </w:pPr>
      <w:r>
        <w:t xml:space="preserve">In 1974, Mr Ong Seng </w:t>
      </w:r>
      <w:proofErr w:type="spellStart"/>
      <w:r>
        <w:t>Keng</w:t>
      </w:r>
      <w:proofErr w:type="spellEnd"/>
      <w:r>
        <w:t xml:space="preserve">, the patriarch of the Ong family, passed away. He was survived by his widow, </w:t>
      </w:r>
      <w:proofErr w:type="spellStart"/>
      <w:r>
        <w:t>Mdm</w:t>
      </w:r>
      <w:proofErr w:type="spellEnd"/>
      <w:r>
        <w:t xml:space="preserve"> Lim Lie </w:t>
      </w:r>
      <w:proofErr w:type="spellStart"/>
      <w:r>
        <w:t>Hoa</w:t>
      </w:r>
      <w:proofErr w:type="spellEnd"/>
      <w:r w:rsidR="00F50D54">
        <w:t xml:space="preserve"> (“</w:t>
      </w:r>
      <w:proofErr w:type="spellStart"/>
      <w:r w:rsidR="00F50D54">
        <w:rPr>
          <w:b/>
          <w:bCs/>
        </w:rPr>
        <w:t>Mdm</w:t>
      </w:r>
      <w:proofErr w:type="spellEnd"/>
      <w:r w:rsidR="00F50D54">
        <w:rPr>
          <w:b/>
          <w:bCs/>
        </w:rPr>
        <w:t xml:space="preserve"> Lim</w:t>
      </w:r>
      <w:r w:rsidR="00F50D54">
        <w:t>”)</w:t>
      </w:r>
      <w:r>
        <w:t>, and three sons</w:t>
      </w:r>
      <w:r w:rsidR="00F50D54">
        <w:t xml:space="preserve">, Ong </w:t>
      </w:r>
      <w:proofErr w:type="spellStart"/>
      <w:r w:rsidR="00F50D54">
        <w:t>Siauw-Tjoan</w:t>
      </w:r>
      <w:proofErr w:type="spellEnd"/>
      <w:r w:rsidR="00F50D54">
        <w:t xml:space="preserve"> (“</w:t>
      </w:r>
      <w:r w:rsidR="00F50D54">
        <w:rPr>
          <w:b/>
          <w:bCs/>
        </w:rPr>
        <w:t>OST</w:t>
      </w:r>
      <w:r w:rsidR="00F50D54">
        <w:t xml:space="preserve">”), Ong </w:t>
      </w:r>
      <w:proofErr w:type="spellStart"/>
      <w:r w:rsidR="00F50D54">
        <w:t>Siau</w:t>
      </w:r>
      <w:r w:rsidR="00F15020">
        <w:t>w</w:t>
      </w:r>
      <w:proofErr w:type="spellEnd"/>
      <w:r w:rsidR="00F50D54">
        <w:t xml:space="preserve"> Ping (“</w:t>
      </w:r>
      <w:r w:rsidR="00F50D54">
        <w:rPr>
          <w:b/>
          <w:bCs/>
        </w:rPr>
        <w:t>OSP</w:t>
      </w:r>
      <w:r w:rsidR="00F50D54">
        <w:t xml:space="preserve">”) and Ong </w:t>
      </w:r>
      <w:proofErr w:type="spellStart"/>
      <w:r w:rsidR="00F50D54">
        <w:t>Keng</w:t>
      </w:r>
      <w:proofErr w:type="spellEnd"/>
      <w:r w:rsidR="00F50D54">
        <w:t xml:space="preserve"> Tong (“</w:t>
      </w:r>
      <w:r w:rsidR="00F50D54">
        <w:rPr>
          <w:b/>
          <w:bCs/>
        </w:rPr>
        <w:t>OKT</w:t>
      </w:r>
      <w:r w:rsidR="00F50D54">
        <w:t xml:space="preserve">”). </w:t>
      </w:r>
      <w:proofErr w:type="spellStart"/>
      <w:r w:rsidR="00F50D54">
        <w:t>Mdm</w:t>
      </w:r>
      <w:proofErr w:type="spellEnd"/>
      <w:r w:rsidR="00F50D54">
        <w:t xml:space="preserve"> Lim passed away in 2009 and OSP was the sole executor of her </w:t>
      </w:r>
      <w:r w:rsidR="00C51084">
        <w:t>e</w:t>
      </w:r>
      <w:r w:rsidR="00F50D54">
        <w:t>state</w:t>
      </w:r>
      <w:r w:rsidR="00C51084">
        <w:t xml:space="preserve"> (the “</w:t>
      </w:r>
      <w:r w:rsidR="00C51084" w:rsidRPr="002B3FAC">
        <w:rPr>
          <w:b/>
          <w:bCs/>
        </w:rPr>
        <w:t>Estate</w:t>
      </w:r>
      <w:r w:rsidR="00C51084">
        <w:t>”)</w:t>
      </w:r>
      <w:r w:rsidR="00F50D54">
        <w:t xml:space="preserve">. </w:t>
      </w:r>
    </w:p>
    <w:p w14:paraId="27D1FA0C" w14:textId="77777777" w:rsidR="005C34F9" w:rsidRDefault="005C34F9" w:rsidP="006A2165">
      <w:pPr>
        <w:pStyle w:val="NoSpacing"/>
        <w:numPr>
          <w:ilvl w:val="0"/>
          <w:numId w:val="0"/>
        </w:numPr>
        <w:ind w:left="720"/>
      </w:pPr>
    </w:p>
    <w:p w14:paraId="00E68B7C" w14:textId="2AE95080" w:rsidR="00345FA1" w:rsidRDefault="00AB27B4" w:rsidP="006A2165">
      <w:pPr>
        <w:pStyle w:val="NoSpacing"/>
        <w:numPr>
          <w:ilvl w:val="0"/>
          <w:numId w:val="0"/>
        </w:numPr>
      </w:pPr>
      <w:r>
        <w:lastRenderedPageBreak/>
        <w:t>The appellant, Jane Rebecca Ong (“</w:t>
      </w:r>
      <w:r w:rsidR="00B742CD">
        <w:rPr>
          <w:b/>
          <w:bCs/>
        </w:rPr>
        <w:t>Jane</w:t>
      </w:r>
      <w:r>
        <w:t>”), was the estranged wife of</w:t>
      </w:r>
      <w:r w:rsidR="00F50D54">
        <w:t xml:space="preserve"> OST. </w:t>
      </w:r>
      <w:r w:rsidR="00716BB1">
        <w:t xml:space="preserve">Despite </w:t>
      </w:r>
      <w:r w:rsidR="005C34F9">
        <w:t>a series of litigation</w:t>
      </w:r>
      <w:r w:rsidR="00381739">
        <w:t xml:space="preserve"> </w:t>
      </w:r>
      <w:r w:rsidR="00345FA1">
        <w:t xml:space="preserve">starting from 1991, </w:t>
      </w:r>
      <w:r w:rsidR="00B742CD">
        <w:t>Jane</w:t>
      </w:r>
      <w:r w:rsidR="00381739">
        <w:t xml:space="preserve"> unsuccessfully sought a share of Mr Ong’s estate</w:t>
      </w:r>
      <w:r w:rsidR="0028476C">
        <w:t xml:space="preserve"> from </w:t>
      </w:r>
      <w:proofErr w:type="spellStart"/>
      <w:r w:rsidR="0028476C">
        <w:t>Mdm</w:t>
      </w:r>
      <w:proofErr w:type="spellEnd"/>
      <w:r w:rsidR="0028476C">
        <w:t xml:space="preserve"> Lim</w:t>
      </w:r>
      <w:r w:rsidR="00345FA1">
        <w:t>. Nevertheless</w:t>
      </w:r>
      <w:r w:rsidR="00B742CD">
        <w:t>,</w:t>
      </w:r>
      <w:r w:rsidR="00345FA1">
        <w:t xml:space="preserve"> </w:t>
      </w:r>
      <w:r w:rsidR="00490783">
        <w:t>in BC 118/2006 (“</w:t>
      </w:r>
      <w:r w:rsidR="00490783">
        <w:rPr>
          <w:b/>
          <w:bCs/>
        </w:rPr>
        <w:t xml:space="preserve">BC </w:t>
      </w:r>
      <w:r w:rsidR="00490783" w:rsidRPr="00490783">
        <w:rPr>
          <w:b/>
          <w:bCs/>
        </w:rPr>
        <w:t>118</w:t>
      </w:r>
      <w:r w:rsidR="00490783">
        <w:t xml:space="preserve">”), </w:t>
      </w:r>
      <w:r w:rsidR="00381739" w:rsidRPr="00490783">
        <w:t>she</w:t>
      </w:r>
      <w:r w:rsidR="00381739">
        <w:t xml:space="preserve"> was awarded the costs of the inquiry proceedings </w:t>
      </w:r>
      <w:r w:rsidR="00265284">
        <w:t>and taxation</w:t>
      </w:r>
      <w:r w:rsidR="00107067">
        <w:t xml:space="preserve"> </w:t>
      </w:r>
      <w:r w:rsidR="0028476C">
        <w:t xml:space="preserve">against </w:t>
      </w:r>
      <w:proofErr w:type="spellStart"/>
      <w:r w:rsidR="0028476C">
        <w:t>Mdm</w:t>
      </w:r>
      <w:proofErr w:type="spellEnd"/>
      <w:r w:rsidR="0028476C">
        <w:t xml:space="preserve"> Lim </w:t>
      </w:r>
      <w:r w:rsidR="00107067">
        <w:t>(“</w:t>
      </w:r>
      <w:r w:rsidR="00107067">
        <w:rPr>
          <w:b/>
          <w:bCs/>
        </w:rPr>
        <w:t>judgment debt</w:t>
      </w:r>
      <w:r w:rsidR="00107067">
        <w:t>”)</w:t>
      </w:r>
      <w:r w:rsidR="00265284">
        <w:t xml:space="preserve">. </w:t>
      </w:r>
    </w:p>
    <w:p w14:paraId="3DD61FCC" w14:textId="77777777" w:rsidR="00B742CD" w:rsidRDefault="00B742CD" w:rsidP="006A2165">
      <w:pPr>
        <w:pStyle w:val="ListParagraph"/>
        <w:spacing w:after="0" w:line="240" w:lineRule="auto"/>
      </w:pPr>
    </w:p>
    <w:p w14:paraId="358F96B6" w14:textId="54F95822" w:rsidR="00B742CD" w:rsidRDefault="00B742CD" w:rsidP="006A2165">
      <w:pPr>
        <w:pStyle w:val="NoSpacing"/>
        <w:numPr>
          <w:ilvl w:val="0"/>
          <w:numId w:val="0"/>
        </w:numPr>
      </w:pPr>
      <w:r>
        <w:t xml:space="preserve">On 14 May 2019, Jane commenced </w:t>
      </w:r>
      <w:r w:rsidR="00C51084">
        <w:t xml:space="preserve">examination </w:t>
      </w:r>
      <w:r>
        <w:t>of judgment debtor (“</w:t>
      </w:r>
      <w:r w:rsidRPr="008363C9">
        <w:rPr>
          <w:b/>
          <w:bCs/>
        </w:rPr>
        <w:t>EJD</w:t>
      </w:r>
      <w:r>
        <w:t xml:space="preserve">”) </w:t>
      </w:r>
      <w:r w:rsidRPr="00B742CD">
        <w:t>proce</w:t>
      </w:r>
      <w:r>
        <w:t xml:space="preserve">edings against the Estate. OSP, in his capacity as sole executor of the Estate, proceeded to file </w:t>
      </w:r>
      <w:r w:rsidR="00D91664">
        <w:t>four affidavits (</w:t>
      </w:r>
      <w:r>
        <w:t xml:space="preserve">the </w:t>
      </w:r>
      <w:r w:rsidR="00D91664">
        <w:t>“</w:t>
      </w:r>
      <w:r w:rsidRPr="002B3FAC">
        <w:rPr>
          <w:b/>
          <w:bCs/>
        </w:rPr>
        <w:t>EJD documents</w:t>
      </w:r>
      <w:r w:rsidR="00D91664">
        <w:t>”)</w:t>
      </w:r>
      <w:r>
        <w:t xml:space="preserve">. Based on information disclosed in these documents, Jane </w:t>
      </w:r>
      <w:r w:rsidR="00795343">
        <w:t>argued</w:t>
      </w:r>
      <w:r>
        <w:t xml:space="preserve"> that OSP </w:t>
      </w:r>
      <w:r w:rsidR="00D91664">
        <w:t xml:space="preserve">had </w:t>
      </w:r>
      <w:r>
        <w:t xml:space="preserve">breached his duties as sole executor of the Estate. </w:t>
      </w:r>
    </w:p>
    <w:p w14:paraId="1A7203F3" w14:textId="77777777" w:rsidR="008363C9" w:rsidRDefault="008363C9" w:rsidP="006A2165">
      <w:pPr>
        <w:pStyle w:val="NoSpacing"/>
        <w:numPr>
          <w:ilvl w:val="0"/>
          <w:numId w:val="0"/>
        </w:numPr>
      </w:pPr>
    </w:p>
    <w:p w14:paraId="7C53CA94" w14:textId="291C3F38" w:rsidR="00B742CD" w:rsidRDefault="008363C9" w:rsidP="006A2165">
      <w:pPr>
        <w:pStyle w:val="NoSpacing"/>
        <w:numPr>
          <w:ilvl w:val="0"/>
          <w:numId w:val="0"/>
        </w:numPr>
      </w:pPr>
      <w:r>
        <w:t xml:space="preserve">Using information obtained from the EJD documents, </w:t>
      </w:r>
      <w:r w:rsidR="00BC406B">
        <w:t>Jane</w:t>
      </w:r>
      <w:r>
        <w:t xml:space="preserve"> commenced </w:t>
      </w:r>
      <w:r w:rsidRPr="00902ADA">
        <w:rPr>
          <w:b/>
          <w:bCs/>
        </w:rPr>
        <w:t>Suit 47</w:t>
      </w:r>
      <w:r>
        <w:t xml:space="preserve"> against OSP. This claim was </w:t>
      </w:r>
      <w:r w:rsidR="00CE3613">
        <w:t xml:space="preserve">based </w:t>
      </w:r>
      <w:r>
        <w:t>on OSP’s alleged misconduct as sole executor of the Estate</w:t>
      </w:r>
      <w:r w:rsidR="00414D19">
        <w:t>,</w:t>
      </w:r>
      <w:r>
        <w:t xml:space="preserve"> including his alleged misappropriat</w:t>
      </w:r>
      <w:r w:rsidR="00414D19">
        <w:t>ion</w:t>
      </w:r>
      <w:r>
        <w:t xml:space="preserve"> of sale proceeds and/or rental income from several properties of the Estate. </w:t>
      </w:r>
    </w:p>
    <w:p w14:paraId="64A6572A" w14:textId="77777777" w:rsidR="00A6118E" w:rsidRDefault="00A6118E" w:rsidP="006A2165">
      <w:pPr>
        <w:pStyle w:val="ListParagraph"/>
        <w:spacing w:after="0" w:line="240" w:lineRule="auto"/>
      </w:pPr>
    </w:p>
    <w:p w14:paraId="1A9BC376" w14:textId="6EED969C" w:rsidR="00A6118E" w:rsidRDefault="00A6118E" w:rsidP="006A2165">
      <w:pPr>
        <w:pStyle w:val="NoSpacing"/>
        <w:numPr>
          <w:ilvl w:val="0"/>
          <w:numId w:val="0"/>
        </w:numPr>
      </w:pPr>
      <w:r>
        <w:t xml:space="preserve">OSP applied to strike out Suit 47, arguing that Jane </w:t>
      </w:r>
      <w:r w:rsidR="000B0BD1">
        <w:t>had</w:t>
      </w:r>
      <w:r>
        <w:t xml:space="preserve"> used the EJD documents to commence Suit 47 in violation of the </w:t>
      </w:r>
      <w:r>
        <w:rPr>
          <w:i/>
          <w:iCs/>
        </w:rPr>
        <w:t xml:space="preserve">Riddick </w:t>
      </w:r>
      <w:r>
        <w:t>principle. Jane then sought a declaration from the court that she was entitled to use the EJD documents and the</w:t>
      </w:r>
      <w:r w:rsidR="00975CE6">
        <w:t xml:space="preserve"> </w:t>
      </w:r>
      <w:r>
        <w:t xml:space="preserve">information </w:t>
      </w:r>
      <w:r w:rsidR="00D91664">
        <w:t xml:space="preserve">therein </w:t>
      </w:r>
      <w:r>
        <w:t xml:space="preserve">without the </w:t>
      </w:r>
      <w:r w:rsidR="00975CE6">
        <w:t xml:space="preserve">court’s </w:t>
      </w:r>
      <w:r>
        <w:t>leave (“</w:t>
      </w:r>
      <w:r w:rsidRPr="00A6118E">
        <w:rPr>
          <w:b/>
          <w:bCs/>
        </w:rPr>
        <w:t>Prayer 1</w:t>
      </w:r>
      <w:r>
        <w:t>”). Alternatively, she sought for leave of court to be granted (“</w:t>
      </w:r>
      <w:r w:rsidRPr="00A6118E">
        <w:rPr>
          <w:b/>
          <w:bCs/>
        </w:rPr>
        <w:t>Prayer 2</w:t>
      </w:r>
      <w:r>
        <w:t>”)</w:t>
      </w:r>
      <w:r w:rsidR="00B64E9A">
        <w:t>.</w:t>
      </w:r>
    </w:p>
    <w:p w14:paraId="4E4FD713" w14:textId="77777777" w:rsidR="00A6118E" w:rsidRDefault="00A6118E" w:rsidP="006A2165">
      <w:pPr>
        <w:pStyle w:val="ListParagraph"/>
        <w:spacing w:after="0" w:line="240" w:lineRule="auto"/>
      </w:pPr>
    </w:p>
    <w:p w14:paraId="1F678AAC" w14:textId="461C5E13" w:rsidR="005A2849" w:rsidRDefault="00A6118E" w:rsidP="006A2165">
      <w:pPr>
        <w:pStyle w:val="NoSpacing"/>
        <w:numPr>
          <w:ilvl w:val="0"/>
          <w:numId w:val="0"/>
        </w:numPr>
      </w:pPr>
      <w:r>
        <w:t xml:space="preserve">The </w:t>
      </w:r>
      <w:r w:rsidR="000E518C">
        <w:t>High Court</w:t>
      </w:r>
      <w:r>
        <w:t xml:space="preserve"> Judge</w:t>
      </w:r>
      <w:r w:rsidR="000E518C">
        <w:t xml:space="preserve"> (“</w:t>
      </w:r>
      <w:r w:rsidR="000E518C">
        <w:rPr>
          <w:b/>
          <w:bCs/>
        </w:rPr>
        <w:t xml:space="preserve">the </w:t>
      </w:r>
      <w:r w:rsidR="00E72DDA">
        <w:rPr>
          <w:b/>
          <w:bCs/>
        </w:rPr>
        <w:t>HC</w:t>
      </w:r>
      <w:r w:rsidR="000E518C">
        <w:t>”)</w:t>
      </w:r>
      <w:r>
        <w:t xml:space="preserve"> </w:t>
      </w:r>
      <w:r w:rsidR="000E518C">
        <w:t xml:space="preserve">dismissed Prayer 1 as there was no basis to conclude that the </w:t>
      </w:r>
      <w:r w:rsidR="000E518C">
        <w:rPr>
          <w:i/>
          <w:iCs/>
        </w:rPr>
        <w:t xml:space="preserve">Riddick </w:t>
      </w:r>
      <w:r w:rsidR="000E518C">
        <w:t xml:space="preserve">principle did not apply to the EJD documents. The </w:t>
      </w:r>
      <w:r w:rsidR="006777B2">
        <w:t xml:space="preserve">HC </w:t>
      </w:r>
      <w:r w:rsidR="000E518C">
        <w:t>directed Prayer 2 to be heard by an Assistant Registrar</w:t>
      </w:r>
      <w:r w:rsidR="00A84F48">
        <w:t>,</w:t>
      </w:r>
      <w:r w:rsidR="000E518C">
        <w:t xml:space="preserve"> who</w:t>
      </w:r>
      <w:r w:rsidR="00A84F48">
        <w:t xml:space="preserve"> also</w:t>
      </w:r>
      <w:r w:rsidR="000E518C">
        <w:t xml:space="preserve"> </w:t>
      </w:r>
      <w:r w:rsidR="000B0BD1">
        <w:t>decided</w:t>
      </w:r>
      <w:r w:rsidR="000E518C">
        <w:t xml:space="preserve"> in OSP’s favour</w:t>
      </w:r>
      <w:r w:rsidR="00A84F48">
        <w:t xml:space="preserve"> and refused leave for Jane to use the EJD documents</w:t>
      </w:r>
      <w:r w:rsidR="000E518C">
        <w:t xml:space="preserve">. On </w:t>
      </w:r>
      <w:r w:rsidR="005A2849">
        <w:t xml:space="preserve">Jane’s subsequent </w:t>
      </w:r>
      <w:r w:rsidR="000E518C">
        <w:t>appeal</w:t>
      </w:r>
      <w:r w:rsidR="005A2849">
        <w:t xml:space="preserve"> to the HC</w:t>
      </w:r>
      <w:r w:rsidR="000E518C">
        <w:t xml:space="preserve">, the </w:t>
      </w:r>
      <w:r w:rsidR="005A2849">
        <w:t xml:space="preserve">HC </w:t>
      </w:r>
      <w:r w:rsidR="000E518C">
        <w:t xml:space="preserve">upheld the Assistant Registrar’s decision. </w:t>
      </w:r>
    </w:p>
    <w:p w14:paraId="419BEC82" w14:textId="77777777" w:rsidR="005A2849" w:rsidRDefault="005A2849" w:rsidP="006A2165">
      <w:pPr>
        <w:pStyle w:val="NoSpacing"/>
        <w:numPr>
          <w:ilvl w:val="0"/>
          <w:numId w:val="0"/>
        </w:numPr>
      </w:pPr>
    </w:p>
    <w:p w14:paraId="5A880879" w14:textId="617F3F04" w:rsidR="00A84F48" w:rsidRDefault="00196000" w:rsidP="006A2165">
      <w:pPr>
        <w:pStyle w:val="NoSpacing"/>
        <w:numPr>
          <w:ilvl w:val="0"/>
          <w:numId w:val="0"/>
        </w:numPr>
      </w:pPr>
      <w:r>
        <w:t xml:space="preserve">The present case </w:t>
      </w:r>
      <w:r w:rsidR="00B86613">
        <w:t xml:space="preserve">arose </w:t>
      </w:r>
      <w:r>
        <w:t xml:space="preserve">from Jane’s appeal of the </w:t>
      </w:r>
      <w:r w:rsidR="005A2849">
        <w:t xml:space="preserve">HC’s </w:t>
      </w:r>
      <w:r>
        <w:t>decisions.</w:t>
      </w:r>
    </w:p>
    <w:p w14:paraId="2FB9F8ED" w14:textId="77777777" w:rsidR="00A84F48" w:rsidRDefault="00A84F48" w:rsidP="006A2165">
      <w:pPr>
        <w:pStyle w:val="ListParagraph"/>
        <w:spacing w:after="0" w:line="240" w:lineRule="auto"/>
      </w:pPr>
    </w:p>
    <w:p w14:paraId="7024C96A" w14:textId="706C4AE7" w:rsidR="00A6118E" w:rsidRDefault="00A84F48" w:rsidP="006A2165">
      <w:pPr>
        <w:pStyle w:val="NoSpacing"/>
        <w:numPr>
          <w:ilvl w:val="0"/>
          <w:numId w:val="0"/>
        </w:numPr>
      </w:pPr>
      <w:r>
        <w:t xml:space="preserve">Before the first hearing of the </w:t>
      </w:r>
      <w:r w:rsidR="00AE0646">
        <w:t>appeal</w:t>
      </w:r>
      <w:r>
        <w:t>, Jane</w:t>
      </w:r>
      <w:r w:rsidR="00B64E9A">
        <w:t xml:space="preserve"> also</w:t>
      </w:r>
      <w:r>
        <w:t xml:space="preserve"> filed </w:t>
      </w:r>
      <w:r w:rsidR="005A2849">
        <w:t xml:space="preserve">an </w:t>
      </w:r>
      <w:r>
        <w:t xml:space="preserve">originating summons for the administration of </w:t>
      </w:r>
      <w:r w:rsidR="00B86613">
        <w:t xml:space="preserve">the </w:t>
      </w:r>
      <w:r>
        <w:t xml:space="preserve">bankruptcy of the Estate. </w:t>
      </w:r>
      <w:r w:rsidR="002B6412">
        <w:t xml:space="preserve">The </w:t>
      </w:r>
      <w:r w:rsidR="002B6412" w:rsidRPr="00353CE7">
        <w:t>H</w:t>
      </w:r>
      <w:r w:rsidR="006777B2" w:rsidRPr="00353CE7">
        <w:t>C</w:t>
      </w:r>
      <w:r w:rsidR="00F15020" w:rsidRPr="00353CE7">
        <w:t xml:space="preserve"> </w:t>
      </w:r>
      <w:r w:rsidR="002B6412">
        <w:t>ordered the administration of the bankruptcy of the Estate. This led to Jane filing applications to stay the appea</w:t>
      </w:r>
      <w:r w:rsidR="008742EE">
        <w:t xml:space="preserve">l. Out of concern that the </w:t>
      </w:r>
      <w:r w:rsidR="004E6904">
        <w:t xml:space="preserve">Estate </w:t>
      </w:r>
      <w:r w:rsidR="008742EE">
        <w:t xml:space="preserve">could not defend itself, </w:t>
      </w:r>
      <w:r w:rsidR="002B6412">
        <w:t>OSP</w:t>
      </w:r>
      <w:r w:rsidR="008742EE">
        <w:t xml:space="preserve"> also</w:t>
      </w:r>
      <w:r w:rsidR="002B6412">
        <w:t xml:space="preserve"> appl</w:t>
      </w:r>
      <w:r w:rsidR="008742EE">
        <w:t>ied</w:t>
      </w:r>
      <w:r w:rsidR="002B6412">
        <w:t xml:space="preserve"> for leave to intervene </w:t>
      </w:r>
      <w:r w:rsidR="008742EE">
        <w:t>and make submissions on behalf of the Estate.</w:t>
      </w:r>
      <w:r w:rsidR="002B6412">
        <w:t xml:space="preserve"> </w:t>
      </w:r>
      <w:r w:rsidR="00943338">
        <w:t>The Court of Appeal (“</w:t>
      </w:r>
      <w:r w:rsidR="00943338" w:rsidRPr="006777B2">
        <w:rPr>
          <w:b/>
          <w:bCs/>
        </w:rPr>
        <w:t>CA</w:t>
      </w:r>
      <w:r w:rsidR="00943338">
        <w:t xml:space="preserve">”) also addressed </w:t>
      </w:r>
      <w:r w:rsidR="00B86613">
        <w:t>these applications</w:t>
      </w:r>
      <w:r w:rsidR="00943338">
        <w:t xml:space="preserve"> together with Jane’s original appeal.</w:t>
      </w:r>
    </w:p>
    <w:p w14:paraId="3ACD0AEA" w14:textId="77777777" w:rsidR="00EE4249" w:rsidRPr="00345FA1" w:rsidRDefault="00EE4249" w:rsidP="006A2165">
      <w:pPr>
        <w:pStyle w:val="NoSpacing"/>
        <w:numPr>
          <w:ilvl w:val="0"/>
          <w:numId w:val="0"/>
        </w:numPr>
      </w:pPr>
    </w:p>
    <w:p w14:paraId="1F888AB5" w14:textId="06607287" w:rsidR="00A610E2" w:rsidRDefault="003E6977" w:rsidP="006A2165">
      <w:pPr>
        <w:pStyle w:val="ListParagraph"/>
        <w:numPr>
          <w:ilvl w:val="0"/>
          <w:numId w:val="5"/>
        </w:numPr>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Issues</w:t>
      </w:r>
    </w:p>
    <w:p w14:paraId="5FCACC9F" w14:textId="36B9C632" w:rsidR="003E6977" w:rsidRPr="008742EE" w:rsidRDefault="008742EE" w:rsidP="006A2165">
      <w:pPr>
        <w:pStyle w:val="NoSpacing"/>
        <w:numPr>
          <w:ilvl w:val="0"/>
          <w:numId w:val="0"/>
        </w:numPr>
        <w:rPr>
          <w:b/>
        </w:rPr>
      </w:pPr>
      <w:r>
        <w:rPr>
          <w:bCs/>
        </w:rPr>
        <w:t xml:space="preserve">Though the </w:t>
      </w:r>
      <w:r w:rsidR="00A524A0">
        <w:rPr>
          <w:bCs/>
        </w:rPr>
        <w:t xml:space="preserve">CA </w:t>
      </w:r>
      <w:r>
        <w:rPr>
          <w:bCs/>
        </w:rPr>
        <w:t>dealt with</w:t>
      </w:r>
      <w:r w:rsidR="0095157A">
        <w:rPr>
          <w:bCs/>
        </w:rPr>
        <w:t xml:space="preserve"> a</w:t>
      </w:r>
      <w:r>
        <w:rPr>
          <w:bCs/>
        </w:rPr>
        <w:t xml:space="preserve"> few issues on appeal, the following were </w:t>
      </w:r>
      <w:r w:rsidR="00945181">
        <w:rPr>
          <w:bCs/>
        </w:rPr>
        <w:t>the most significant ones</w:t>
      </w:r>
      <w:r>
        <w:rPr>
          <w:bCs/>
        </w:rPr>
        <w:t xml:space="preserve">: </w:t>
      </w:r>
    </w:p>
    <w:p w14:paraId="3C28B6AD" w14:textId="2C7ACC89" w:rsidR="008742EE" w:rsidRPr="009D4EAA" w:rsidRDefault="008742EE" w:rsidP="006777B2">
      <w:pPr>
        <w:pStyle w:val="NoSpacing"/>
        <w:numPr>
          <w:ilvl w:val="1"/>
          <w:numId w:val="62"/>
        </w:numPr>
        <w:rPr>
          <w:b/>
        </w:rPr>
      </w:pPr>
      <w:r>
        <w:rPr>
          <w:bCs/>
        </w:rPr>
        <w:t xml:space="preserve">Whether the </w:t>
      </w:r>
      <w:r>
        <w:rPr>
          <w:bCs/>
          <w:i/>
          <w:iCs/>
        </w:rPr>
        <w:t xml:space="preserve">Riddick </w:t>
      </w:r>
      <w:r>
        <w:rPr>
          <w:bCs/>
        </w:rPr>
        <w:t>undertaking applied to the EJD documents; and</w:t>
      </w:r>
    </w:p>
    <w:p w14:paraId="63C9E07C" w14:textId="05827602" w:rsidR="008742EE" w:rsidRDefault="008742EE" w:rsidP="006A2165">
      <w:pPr>
        <w:pStyle w:val="NoSpacing"/>
        <w:numPr>
          <w:ilvl w:val="1"/>
          <w:numId w:val="2"/>
        </w:numPr>
        <w:rPr>
          <w:b/>
        </w:rPr>
      </w:pPr>
      <w:r>
        <w:rPr>
          <w:bCs/>
        </w:rPr>
        <w:t xml:space="preserve">If the </w:t>
      </w:r>
      <w:r>
        <w:rPr>
          <w:bCs/>
          <w:i/>
          <w:iCs/>
        </w:rPr>
        <w:t xml:space="preserve">Riddick </w:t>
      </w:r>
      <w:r>
        <w:rPr>
          <w:bCs/>
        </w:rPr>
        <w:t xml:space="preserve">undertaking applied, </w:t>
      </w:r>
      <w:r w:rsidR="00EA28AF">
        <w:rPr>
          <w:bCs/>
        </w:rPr>
        <w:t xml:space="preserve">should </w:t>
      </w:r>
      <w:r>
        <w:rPr>
          <w:bCs/>
        </w:rPr>
        <w:t>Jane nevertheless be granted leave to use the EJD documents to pursue Suit 47</w:t>
      </w:r>
      <w:r w:rsidR="002D397F">
        <w:rPr>
          <w:bCs/>
        </w:rPr>
        <w:t>.</w:t>
      </w:r>
    </w:p>
    <w:p w14:paraId="7115DECA" w14:textId="241ACEBB" w:rsidR="008742EE" w:rsidRDefault="008742EE" w:rsidP="006A2165">
      <w:pPr>
        <w:pStyle w:val="NoSpacing"/>
        <w:numPr>
          <w:ilvl w:val="0"/>
          <w:numId w:val="0"/>
        </w:numPr>
        <w:ind w:left="720" w:hanging="720"/>
      </w:pPr>
    </w:p>
    <w:p w14:paraId="7BC5C280" w14:textId="20EE752B" w:rsidR="00EE4249" w:rsidRDefault="00903F0A" w:rsidP="006A2165">
      <w:pPr>
        <w:pStyle w:val="NoSpacing"/>
        <w:numPr>
          <w:ilvl w:val="0"/>
          <w:numId w:val="0"/>
        </w:numPr>
      </w:pPr>
      <w:r>
        <w:t xml:space="preserve">As a preliminary point, the </w:t>
      </w:r>
      <w:r w:rsidR="002954BB">
        <w:t xml:space="preserve">CA </w:t>
      </w:r>
      <w:r>
        <w:t xml:space="preserve">noted that the mismanagement of the litigation had led to the present “convoluted state of affairs”. There were a total of four appeals and six applications before the </w:t>
      </w:r>
      <w:r w:rsidR="002E0E06">
        <w:t>CA, even though</w:t>
      </w:r>
      <w:r w:rsidR="00A35545">
        <w:t xml:space="preserve"> the </w:t>
      </w:r>
      <w:r w:rsidR="00F60B6B">
        <w:t>case should have been dealt with in a single or at most two appeals.</w:t>
      </w:r>
      <w:r w:rsidR="00F31387">
        <w:rPr>
          <w:rStyle w:val="FootnoteReference"/>
        </w:rPr>
        <w:footnoteReference w:id="1"/>
      </w:r>
      <w:r w:rsidR="00215077">
        <w:t xml:space="preserve"> </w:t>
      </w:r>
      <w:r w:rsidR="00107067">
        <w:t xml:space="preserve">The </w:t>
      </w:r>
      <w:r w:rsidR="00215077">
        <w:t xml:space="preserve">CA </w:t>
      </w:r>
      <w:r w:rsidR="00107067">
        <w:t xml:space="preserve">also </w:t>
      </w:r>
      <w:r w:rsidR="00437211">
        <w:t>explained that it was inappropriate for</w:t>
      </w:r>
      <w:r w:rsidR="00AA71B1">
        <w:t xml:space="preserve"> the </w:t>
      </w:r>
      <w:r w:rsidR="00EE4657">
        <w:t>HC</w:t>
      </w:r>
      <w:r w:rsidR="00AA71B1">
        <w:t xml:space="preserve"> </w:t>
      </w:r>
      <w:r w:rsidR="00437211">
        <w:t xml:space="preserve">to deal with Prayer 1 but </w:t>
      </w:r>
      <w:r w:rsidR="00437211">
        <w:lastRenderedPageBreak/>
        <w:t>to direct</w:t>
      </w:r>
      <w:r w:rsidR="00AA71B1">
        <w:t xml:space="preserve"> Prayer 2 to be heard by the Assistant Registrar</w:t>
      </w:r>
      <w:r w:rsidR="00EC7339">
        <w:t>,</w:t>
      </w:r>
      <w:r w:rsidR="00AA71B1">
        <w:t xml:space="preserve"> when both prayers emanated from the same application and largely engaged the same legal issue. The </w:t>
      </w:r>
      <w:r w:rsidR="00EC7339">
        <w:t xml:space="preserve">CA </w:t>
      </w:r>
      <w:r w:rsidR="00AA71B1">
        <w:t>then issued a warning,</w:t>
      </w:r>
      <w:r w:rsidR="00437211">
        <w:t xml:space="preserve"> </w:t>
      </w:r>
      <w:r w:rsidR="00EC7339">
        <w:t xml:space="preserve">stating </w:t>
      </w:r>
      <w:r w:rsidR="00AA71B1">
        <w:t>that</w:t>
      </w:r>
      <w:r w:rsidR="00F60B6B">
        <w:t xml:space="preserve"> each court process is meant to be invoked for a particular purpose</w:t>
      </w:r>
      <w:r w:rsidR="00EC7339">
        <w:t>. T</w:t>
      </w:r>
      <w:r w:rsidR="00437211">
        <w:t>he court</w:t>
      </w:r>
      <w:r w:rsidR="00AA71B1">
        <w:t xml:space="preserve"> would not condone “trigger-happy invocation – whether wanton, impulsive or reckless – of such processes</w:t>
      </w:r>
      <w:r w:rsidR="00F60B6B">
        <w:t>.”</w:t>
      </w:r>
    </w:p>
    <w:p w14:paraId="26743270" w14:textId="77777777" w:rsidR="00EE4249" w:rsidRDefault="00EE4249" w:rsidP="006A2165">
      <w:pPr>
        <w:pStyle w:val="NoSpacing"/>
        <w:numPr>
          <w:ilvl w:val="0"/>
          <w:numId w:val="0"/>
        </w:numPr>
      </w:pPr>
    </w:p>
    <w:p w14:paraId="17DCA6D7" w14:textId="7C6CC8E2" w:rsidR="00F60B6B" w:rsidRPr="00A35545" w:rsidRDefault="00A35545" w:rsidP="006A2165">
      <w:pPr>
        <w:pStyle w:val="NoSpacing"/>
        <w:numPr>
          <w:ilvl w:val="0"/>
          <w:numId w:val="17"/>
        </w:numPr>
        <w:ind w:hanging="720"/>
        <w:rPr>
          <w:b/>
          <w:bCs/>
          <w:i/>
          <w:iCs/>
        </w:rPr>
      </w:pPr>
      <w:r w:rsidRPr="00A35545">
        <w:rPr>
          <w:b/>
          <w:bCs/>
          <w:i/>
          <w:iCs/>
        </w:rPr>
        <w:t>Whether the Riddick undertaking applied to the EJD documents</w:t>
      </w:r>
    </w:p>
    <w:p w14:paraId="309EE9F1" w14:textId="4E059BCA" w:rsidR="00CD6CBC" w:rsidRDefault="00715E86" w:rsidP="006A2165">
      <w:pPr>
        <w:pStyle w:val="NoSpacing"/>
        <w:numPr>
          <w:ilvl w:val="0"/>
          <w:numId w:val="0"/>
        </w:numPr>
      </w:pPr>
      <w:r>
        <w:t xml:space="preserve">First, the </w:t>
      </w:r>
      <w:r w:rsidR="00642476">
        <w:t xml:space="preserve">CA </w:t>
      </w:r>
      <w:r>
        <w:t xml:space="preserve">noted that Prayer </w:t>
      </w:r>
      <w:r w:rsidR="00CD6CBC">
        <w:t>1</w:t>
      </w:r>
      <w:r>
        <w:t xml:space="preserve"> should not have been pursued in the first place because Suit 47 had </w:t>
      </w:r>
      <w:r w:rsidRPr="00CD6CBC">
        <w:rPr>
          <w:i/>
          <w:iCs/>
        </w:rPr>
        <w:t>already be</w:t>
      </w:r>
      <w:r w:rsidR="00CD6CBC">
        <w:rPr>
          <w:i/>
          <w:iCs/>
        </w:rPr>
        <w:t>en</w:t>
      </w:r>
      <w:r w:rsidRPr="00CD6CBC">
        <w:rPr>
          <w:i/>
          <w:iCs/>
        </w:rPr>
        <w:t xml:space="preserve"> filed</w:t>
      </w:r>
      <w:r>
        <w:t xml:space="preserve"> and Jane had used the EJD documents without leave of court.</w:t>
      </w:r>
    </w:p>
    <w:p w14:paraId="14F54CAB" w14:textId="64875E94" w:rsidR="008B0067" w:rsidRDefault="00715E86" w:rsidP="006A2165">
      <w:pPr>
        <w:pStyle w:val="NoSpacing"/>
        <w:numPr>
          <w:ilvl w:val="0"/>
          <w:numId w:val="0"/>
        </w:numPr>
        <w:ind w:left="720"/>
      </w:pPr>
      <w:r>
        <w:t xml:space="preserve"> </w:t>
      </w:r>
    </w:p>
    <w:p w14:paraId="7D8FE947" w14:textId="00CDB842" w:rsidR="008B0067" w:rsidRDefault="008B0067" w:rsidP="006A2165">
      <w:pPr>
        <w:pStyle w:val="NoSpacing"/>
        <w:numPr>
          <w:ilvl w:val="0"/>
          <w:numId w:val="0"/>
        </w:numPr>
      </w:pPr>
      <w:r>
        <w:t xml:space="preserve">The </w:t>
      </w:r>
      <w:r w:rsidR="00662942">
        <w:t xml:space="preserve">CA </w:t>
      </w:r>
      <w:r w:rsidR="00A35545">
        <w:t>then</w:t>
      </w:r>
      <w:r>
        <w:t xml:space="preserve"> laid out the following framework for approaching cases involving the </w:t>
      </w:r>
      <w:r>
        <w:rPr>
          <w:i/>
          <w:iCs/>
        </w:rPr>
        <w:t xml:space="preserve">Riddick </w:t>
      </w:r>
      <w:r>
        <w:t>undertaking</w:t>
      </w:r>
      <w:r w:rsidR="002C3A02">
        <w:t xml:space="preserve"> (</w:t>
      </w:r>
      <w:proofErr w:type="spellStart"/>
      <w:r w:rsidR="004F7AB9">
        <w:rPr>
          <w:i/>
          <w:iCs/>
        </w:rPr>
        <w:t>ie</w:t>
      </w:r>
      <w:proofErr w:type="spellEnd"/>
      <w:r w:rsidR="004F7AB9">
        <w:t>,</w:t>
      </w:r>
      <w:r w:rsidR="002C3A02">
        <w:t xml:space="preserve"> </w:t>
      </w:r>
      <w:r w:rsidR="00F4276B" w:rsidRPr="002A3737">
        <w:t>an implied undertaking not to use disclosed documents for any collateral purpose</w:t>
      </w:r>
      <w:r w:rsidR="002C3A02">
        <w:t>)</w:t>
      </w:r>
      <w:r>
        <w:t xml:space="preserve">: </w:t>
      </w:r>
    </w:p>
    <w:p w14:paraId="32DCE614" w14:textId="3523586B" w:rsidR="008B0067" w:rsidRDefault="008B0067" w:rsidP="006A2165">
      <w:pPr>
        <w:pStyle w:val="NoSpacing"/>
        <w:numPr>
          <w:ilvl w:val="1"/>
          <w:numId w:val="63"/>
        </w:numPr>
      </w:pPr>
      <w:r>
        <w:t xml:space="preserve">First, one must determine whether, on the basis of the element of </w:t>
      </w:r>
      <w:r>
        <w:rPr>
          <w:i/>
          <w:iCs/>
        </w:rPr>
        <w:t>compulsion</w:t>
      </w:r>
      <w:r>
        <w:t xml:space="preserve">, a document produced in discovery is covered by the </w:t>
      </w:r>
      <w:r>
        <w:rPr>
          <w:i/>
          <w:iCs/>
        </w:rPr>
        <w:t xml:space="preserve">Riddick </w:t>
      </w:r>
      <w:r>
        <w:t>undertaking. If the answer is in the negative, the documents are not protected and may be used without the leave of court. (“</w:t>
      </w:r>
      <w:r>
        <w:rPr>
          <w:b/>
          <w:bCs/>
        </w:rPr>
        <w:t>First Category</w:t>
      </w:r>
      <w:r>
        <w:t xml:space="preserve">”) </w:t>
      </w:r>
    </w:p>
    <w:p w14:paraId="0A63A10B" w14:textId="79794F31" w:rsidR="008B0067" w:rsidRDefault="008B0067" w:rsidP="006A2165">
      <w:pPr>
        <w:pStyle w:val="NoSpacing"/>
        <w:numPr>
          <w:ilvl w:val="1"/>
          <w:numId w:val="2"/>
        </w:numPr>
      </w:pPr>
      <w:r>
        <w:t xml:space="preserve">Next, if the </w:t>
      </w:r>
      <w:r>
        <w:rPr>
          <w:i/>
          <w:iCs/>
        </w:rPr>
        <w:t xml:space="preserve">Riddick </w:t>
      </w:r>
      <w:r>
        <w:t xml:space="preserve">undertaking applies, the question is whether notwithstanding the undertaking, the protected documents may nonetheless be used </w:t>
      </w:r>
      <w:r>
        <w:rPr>
          <w:i/>
          <w:iCs/>
        </w:rPr>
        <w:t xml:space="preserve">without </w:t>
      </w:r>
      <w:r>
        <w:t xml:space="preserve">leave of court, due to the nature of the related </w:t>
      </w:r>
      <w:r>
        <w:rPr>
          <w:i/>
          <w:iCs/>
        </w:rPr>
        <w:t xml:space="preserve">enforcement </w:t>
      </w:r>
      <w:r>
        <w:t>proceedings for which the documents are being used. (“</w:t>
      </w:r>
      <w:r>
        <w:rPr>
          <w:b/>
          <w:bCs/>
        </w:rPr>
        <w:t>Second Category</w:t>
      </w:r>
      <w:r>
        <w:t>”)</w:t>
      </w:r>
    </w:p>
    <w:p w14:paraId="7038D4AD" w14:textId="2060552D" w:rsidR="00A35545" w:rsidRDefault="008B0067" w:rsidP="006A2165">
      <w:pPr>
        <w:pStyle w:val="NoSpacing"/>
        <w:numPr>
          <w:ilvl w:val="1"/>
          <w:numId w:val="2"/>
        </w:numPr>
      </w:pPr>
      <w:r>
        <w:t>If neither of the above is satisfied, the party relying on the protected documents to commence or sustain related proceedings must seek the court’s leave for the undertaking to be lifted. (“</w:t>
      </w:r>
      <w:r>
        <w:rPr>
          <w:b/>
          <w:bCs/>
        </w:rPr>
        <w:t>Third Category</w:t>
      </w:r>
      <w:r>
        <w:t>”)</w:t>
      </w:r>
    </w:p>
    <w:p w14:paraId="7C9770A3" w14:textId="1FD5CF42" w:rsidR="00A35545" w:rsidRDefault="00A35545" w:rsidP="006A2165">
      <w:pPr>
        <w:pStyle w:val="ListParagraph"/>
        <w:spacing w:after="0" w:line="240" w:lineRule="auto"/>
      </w:pPr>
    </w:p>
    <w:p w14:paraId="1B9760E6" w14:textId="05643C84" w:rsidR="005834A5" w:rsidRDefault="005834A5" w:rsidP="006A2165">
      <w:pPr>
        <w:pStyle w:val="NoSpacing"/>
        <w:numPr>
          <w:ilvl w:val="0"/>
          <w:numId w:val="18"/>
        </w:numPr>
        <w:ind w:hanging="720"/>
        <w:rPr>
          <w:i/>
          <w:iCs/>
        </w:rPr>
      </w:pPr>
      <w:r>
        <w:rPr>
          <w:i/>
          <w:iCs/>
        </w:rPr>
        <w:t xml:space="preserve">First Category </w:t>
      </w:r>
    </w:p>
    <w:p w14:paraId="02500433" w14:textId="11C2C3EE" w:rsidR="002F4025" w:rsidRDefault="005834A5" w:rsidP="006A2165">
      <w:pPr>
        <w:pStyle w:val="NoSpacing"/>
        <w:numPr>
          <w:ilvl w:val="0"/>
          <w:numId w:val="0"/>
        </w:numPr>
      </w:pPr>
      <w:r>
        <w:t xml:space="preserve">The first question </w:t>
      </w:r>
      <w:r w:rsidR="005F1BB8">
        <w:t xml:space="preserve">is </w:t>
      </w:r>
      <w:r>
        <w:t xml:space="preserve">whether the document is even protected by the </w:t>
      </w:r>
      <w:r>
        <w:rPr>
          <w:i/>
          <w:iCs/>
        </w:rPr>
        <w:t xml:space="preserve">Riddick </w:t>
      </w:r>
      <w:r>
        <w:t xml:space="preserve">principle. This turns on whether the documents sought to be used were disclosed on </w:t>
      </w:r>
      <w:r>
        <w:rPr>
          <w:i/>
          <w:iCs/>
        </w:rPr>
        <w:t>compulsion</w:t>
      </w:r>
      <w:r>
        <w:t xml:space="preserve">. </w:t>
      </w:r>
      <w:r w:rsidR="00B84485">
        <w:t xml:space="preserve">The </w:t>
      </w:r>
      <w:r w:rsidR="00A35545">
        <w:t xml:space="preserve">following </w:t>
      </w:r>
      <w:r w:rsidR="00B84485">
        <w:t xml:space="preserve">are the relevant </w:t>
      </w:r>
      <w:r w:rsidR="002F4025">
        <w:t>principles</w:t>
      </w:r>
      <w:r w:rsidR="00A35545">
        <w:t>:</w:t>
      </w:r>
      <w:r w:rsidR="002F4025">
        <w:t xml:space="preserve"> </w:t>
      </w:r>
    </w:p>
    <w:p w14:paraId="5BE4D369" w14:textId="76C9AA81" w:rsidR="004609CB" w:rsidRDefault="004609CB" w:rsidP="006A2165">
      <w:pPr>
        <w:pStyle w:val="NoSpacing"/>
        <w:numPr>
          <w:ilvl w:val="1"/>
          <w:numId w:val="64"/>
        </w:numPr>
      </w:pPr>
      <w:r>
        <w:t xml:space="preserve">The </w:t>
      </w:r>
      <w:r>
        <w:rPr>
          <w:i/>
          <w:iCs/>
        </w:rPr>
        <w:t xml:space="preserve">Riddick </w:t>
      </w:r>
      <w:r w:rsidRPr="004609CB">
        <w:t>principle is not engaged simply because information has been disclosed in court proceedings</w:t>
      </w:r>
      <w:r>
        <w:t>; t</w:t>
      </w:r>
      <w:r w:rsidRPr="004609CB">
        <w:t>he critical factor is the element of compulsion that accompanies the discovery</w:t>
      </w:r>
      <w:r>
        <w:t>;</w:t>
      </w:r>
    </w:p>
    <w:p w14:paraId="5453EA8A" w14:textId="5EA786A2" w:rsidR="002F4025" w:rsidRDefault="00A35545" w:rsidP="006A2165">
      <w:pPr>
        <w:pStyle w:val="NoSpacing"/>
        <w:numPr>
          <w:ilvl w:val="1"/>
          <w:numId w:val="64"/>
        </w:numPr>
      </w:pPr>
      <w:r>
        <w:t>I</w:t>
      </w:r>
      <w:r w:rsidR="002F4025">
        <w:t xml:space="preserve">t is not necessary for a breach of the court order to be punishable by contempt of court to engage the </w:t>
      </w:r>
      <w:r w:rsidR="002F4025" w:rsidRPr="002F4025">
        <w:rPr>
          <w:i/>
          <w:iCs/>
        </w:rPr>
        <w:t xml:space="preserve">Riddick </w:t>
      </w:r>
      <w:r w:rsidR="002F4025">
        <w:t xml:space="preserve">principle; </w:t>
      </w:r>
    </w:p>
    <w:p w14:paraId="47835D30" w14:textId="77E32EDD" w:rsidR="00A35545" w:rsidRDefault="00341DB7" w:rsidP="006A2165">
      <w:pPr>
        <w:pStyle w:val="NoSpacing"/>
        <w:numPr>
          <w:ilvl w:val="1"/>
          <w:numId w:val="2"/>
        </w:numPr>
      </w:pPr>
      <w:r>
        <w:t>V</w:t>
      </w:r>
      <w:r w:rsidR="002F4025">
        <w:t xml:space="preserve">oluntariness is not an exception to the </w:t>
      </w:r>
      <w:r w:rsidR="002F4025" w:rsidRPr="002F4025">
        <w:rPr>
          <w:i/>
          <w:iCs/>
        </w:rPr>
        <w:t xml:space="preserve">Riddick </w:t>
      </w:r>
      <w:r w:rsidR="002F4025">
        <w:t xml:space="preserve">principle as the </w:t>
      </w:r>
      <w:r w:rsidR="002F4025" w:rsidRPr="002F4025">
        <w:rPr>
          <w:i/>
          <w:iCs/>
        </w:rPr>
        <w:t xml:space="preserve">Riddick </w:t>
      </w:r>
      <w:r w:rsidR="002F4025">
        <w:t xml:space="preserve">principle simply does not apply to documents that have been voluntarily disclosed; and </w:t>
      </w:r>
    </w:p>
    <w:p w14:paraId="6A2BD132" w14:textId="6189D755" w:rsidR="005834A5" w:rsidRDefault="00341DB7" w:rsidP="006A2165">
      <w:pPr>
        <w:pStyle w:val="NoSpacing"/>
        <w:numPr>
          <w:ilvl w:val="1"/>
          <w:numId w:val="2"/>
        </w:numPr>
      </w:pPr>
      <w:r>
        <w:t>I</w:t>
      </w:r>
      <w:r w:rsidR="002F4025">
        <w:t xml:space="preserve">n determining whether discovery was voluntary or otherwise, the court must examine the context under which the disclosure was made. </w:t>
      </w:r>
    </w:p>
    <w:p w14:paraId="0702F77A" w14:textId="7DF57773" w:rsidR="00F60B6B" w:rsidRDefault="00F60B6B" w:rsidP="006A2165">
      <w:pPr>
        <w:pStyle w:val="NoSpacing"/>
        <w:numPr>
          <w:ilvl w:val="0"/>
          <w:numId w:val="0"/>
        </w:numPr>
      </w:pPr>
    </w:p>
    <w:p w14:paraId="006ED848" w14:textId="6F226DF4" w:rsidR="00D207AD" w:rsidRDefault="00AF3F73" w:rsidP="006A2165">
      <w:pPr>
        <w:pStyle w:val="NoSpacing"/>
        <w:numPr>
          <w:ilvl w:val="0"/>
          <w:numId w:val="0"/>
        </w:numPr>
      </w:pPr>
      <w:bookmarkStart w:id="1" w:name="OLE_LINK1"/>
      <w:bookmarkStart w:id="2" w:name="OLE_LINK2"/>
      <w:r>
        <w:t xml:space="preserve">Applying these principles, the </w:t>
      </w:r>
      <w:r w:rsidR="008B62D1">
        <w:t xml:space="preserve">CA </w:t>
      </w:r>
      <w:r>
        <w:t xml:space="preserve">held that documents disclosed in EJD proceedings were covered by the </w:t>
      </w:r>
      <w:r>
        <w:rPr>
          <w:i/>
          <w:iCs/>
        </w:rPr>
        <w:t xml:space="preserve">Riddick </w:t>
      </w:r>
      <w:r>
        <w:t>principle</w:t>
      </w:r>
      <w:r w:rsidR="0051278B">
        <w:t xml:space="preserve"> and </w:t>
      </w:r>
      <w:r w:rsidR="0051278B" w:rsidRPr="00A35545">
        <w:t>did not</w:t>
      </w:r>
      <w:r w:rsidR="0051278B">
        <w:rPr>
          <w:i/>
          <w:iCs/>
        </w:rPr>
        <w:t xml:space="preserve"> </w:t>
      </w:r>
      <w:r w:rsidR="0051278B">
        <w:t>fall under the first category of situations identified in the framework above</w:t>
      </w:r>
      <w:r>
        <w:t xml:space="preserve">. In coming to this holding, the </w:t>
      </w:r>
      <w:r w:rsidR="008B62D1">
        <w:t xml:space="preserve">CA </w:t>
      </w:r>
      <w:r>
        <w:t>noted that EJD proceedings commenced under O</w:t>
      </w:r>
      <w:r w:rsidR="00F90E6D">
        <w:t>rder</w:t>
      </w:r>
      <w:r>
        <w:t xml:space="preserve"> 48 of the Rules of </w:t>
      </w:r>
      <w:r w:rsidR="00F90E6D">
        <w:t>Court (</w:t>
      </w:r>
      <w:r w:rsidR="00F90E6D" w:rsidRPr="00F90E6D">
        <w:t>2014 Rev Ed</w:t>
      </w:r>
      <w:r w:rsidR="00F90E6D">
        <w:t xml:space="preserve">) </w:t>
      </w:r>
      <w:r>
        <w:t xml:space="preserve">represented an invocation of the coercive powers of the court. </w:t>
      </w:r>
      <w:r w:rsidR="0010046F">
        <w:t>Further,</w:t>
      </w:r>
      <w:r>
        <w:t xml:space="preserve"> non-compliance</w:t>
      </w:r>
      <w:r w:rsidR="00EE4249">
        <w:t xml:space="preserve"> </w:t>
      </w:r>
      <w:r>
        <w:t xml:space="preserve">with orders made in EJD proceedings could result in committal proceedings being commenced, thus strongly suggesting </w:t>
      </w:r>
      <w:r w:rsidR="004609CB">
        <w:t xml:space="preserve">that the </w:t>
      </w:r>
      <w:r w:rsidR="004609CB">
        <w:rPr>
          <w:i/>
          <w:iCs/>
        </w:rPr>
        <w:t xml:space="preserve">Riddick </w:t>
      </w:r>
      <w:r w:rsidR="004609CB">
        <w:t>principle applies to such situations</w:t>
      </w:r>
      <w:r>
        <w:t>.</w:t>
      </w:r>
    </w:p>
    <w:bookmarkEnd w:id="1"/>
    <w:bookmarkEnd w:id="2"/>
    <w:p w14:paraId="056A1C70" w14:textId="52D1AB9C" w:rsidR="0051278B" w:rsidRDefault="0051278B" w:rsidP="006A2165">
      <w:pPr>
        <w:pStyle w:val="NoSpacing"/>
        <w:numPr>
          <w:ilvl w:val="0"/>
          <w:numId w:val="0"/>
        </w:numPr>
        <w:ind w:left="720" w:hanging="720"/>
      </w:pPr>
    </w:p>
    <w:p w14:paraId="3F959ED2" w14:textId="2D6988F2" w:rsidR="0051278B" w:rsidRDefault="0051278B" w:rsidP="006A2165">
      <w:pPr>
        <w:pStyle w:val="NoSpacing"/>
        <w:numPr>
          <w:ilvl w:val="0"/>
          <w:numId w:val="18"/>
        </w:numPr>
        <w:ind w:hanging="720"/>
        <w:rPr>
          <w:i/>
          <w:iCs/>
        </w:rPr>
      </w:pPr>
      <w:r>
        <w:rPr>
          <w:i/>
          <w:iCs/>
        </w:rPr>
        <w:lastRenderedPageBreak/>
        <w:t xml:space="preserve">Second Category </w:t>
      </w:r>
    </w:p>
    <w:p w14:paraId="364620A8" w14:textId="1BF0FE84" w:rsidR="00854371" w:rsidRDefault="0051278B" w:rsidP="00170637">
      <w:pPr>
        <w:pStyle w:val="NoSpacing"/>
        <w:numPr>
          <w:ilvl w:val="0"/>
          <w:numId w:val="0"/>
        </w:numPr>
      </w:pPr>
      <w:r>
        <w:t xml:space="preserve">The </w:t>
      </w:r>
      <w:r w:rsidR="00C17CEA">
        <w:t xml:space="preserve">CA </w:t>
      </w:r>
      <w:r>
        <w:t xml:space="preserve">also provided guidance on when leave of court </w:t>
      </w:r>
      <w:r w:rsidR="00820591">
        <w:t>is</w:t>
      </w:r>
      <w:r>
        <w:t xml:space="preserve"> required to use information and documents in subsequent </w:t>
      </w:r>
      <w:r>
        <w:rPr>
          <w:i/>
          <w:iCs/>
        </w:rPr>
        <w:t xml:space="preserve">enforcement </w:t>
      </w:r>
      <w:r>
        <w:t>proceedings</w:t>
      </w:r>
      <w:r w:rsidR="00854371">
        <w:t xml:space="preserve">. </w:t>
      </w:r>
      <w:r w:rsidR="00170637">
        <w:t>I</w:t>
      </w:r>
      <w:r w:rsidR="009D4EAA">
        <w:t xml:space="preserve">n determining whether proceedings are “enforcement” proceedings (in which documents covered by the </w:t>
      </w:r>
      <w:r w:rsidR="009D4EAA">
        <w:rPr>
          <w:i/>
          <w:iCs/>
        </w:rPr>
        <w:t xml:space="preserve">Riddick </w:t>
      </w:r>
      <w:r w:rsidR="009D4EAA">
        <w:t>principle may be used without leave)</w:t>
      </w:r>
      <w:r w:rsidR="004F7436">
        <w:t>,</w:t>
      </w:r>
      <w:r w:rsidR="009D4EAA">
        <w:t xml:space="preserve"> there are two key </w:t>
      </w:r>
      <w:r w:rsidR="00515090">
        <w:t>points of reference</w:t>
      </w:r>
      <w:r w:rsidR="00C62F5C">
        <w:t>:</w:t>
      </w:r>
      <w:r w:rsidR="009D4EAA">
        <w:t xml:space="preserve"> the nature of the proceedings in which the documents were </w:t>
      </w:r>
      <w:r w:rsidR="009D4EAA">
        <w:rPr>
          <w:i/>
          <w:iCs/>
        </w:rPr>
        <w:t>disclosed</w:t>
      </w:r>
      <w:r w:rsidR="00492999">
        <w:rPr>
          <w:i/>
          <w:iCs/>
        </w:rPr>
        <w:t xml:space="preserve"> </w:t>
      </w:r>
      <w:r w:rsidR="00492999">
        <w:t>(“</w:t>
      </w:r>
      <w:r w:rsidR="00820591">
        <w:rPr>
          <w:b/>
          <w:bCs/>
        </w:rPr>
        <w:t>F</w:t>
      </w:r>
      <w:r w:rsidR="00492999">
        <w:rPr>
          <w:b/>
          <w:bCs/>
        </w:rPr>
        <w:t xml:space="preserve">irst </w:t>
      </w:r>
      <w:r w:rsidR="00820591">
        <w:rPr>
          <w:b/>
          <w:bCs/>
        </w:rPr>
        <w:t>H</w:t>
      </w:r>
      <w:r w:rsidR="00492999">
        <w:rPr>
          <w:b/>
          <w:bCs/>
        </w:rPr>
        <w:t>urdle</w:t>
      </w:r>
      <w:r w:rsidR="00492999">
        <w:t>”)</w:t>
      </w:r>
      <w:r w:rsidR="009D4EAA">
        <w:t xml:space="preserve">, and the nature of the proceedings in which the said documents were being </w:t>
      </w:r>
      <w:r w:rsidR="009D4EAA">
        <w:rPr>
          <w:i/>
          <w:iCs/>
        </w:rPr>
        <w:t>used</w:t>
      </w:r>
      <w:r w:rsidR="00492999">
        <w:rPr>
          <w:i/>
          <w:iCs/>
        </w:rPr>
        <w:t xml:space="preserve"> </w:t>
      </w:r>
      <w:r w:rsidR="00492999">
        <w:t>(“</w:t>
      </w:r>
      <w:r w:rsidR="00820591">
        <w:rPr>
          <w:b/>
          <w:bCs/>
        </w:rPr>
        <w:t>S</w:t>
      </w:r>
      <w:r w:rsidR="00492999">
        <w:rPr>
          <w:b/>
          <w:bCs/>
        </w:rPr>
        <w:t xml:space="preserve">econd </w:t>
      </w:r>
      <w:r w:rsidR="00820591">
        <w:rPr>
          <w:b/>
          <w:bCs/>
        </w:rPr>
        <w:t>H</w:t>
      </w:r>
      <w:r w:rsidR="00492999">
        <w:rPr>
          <w:b/>
          <w:bCs/>
        </w:rPr>
        <w:t>urdle</w:t>
      </w:r>
      <w:r w:rsidR="00492999">
        <w:t>”)</w:t>
      </w:r>
      <w:r w:rsidR="009D4EAA">
        <w:t xml:space="preserve">. </w:t>
      </w:r>
    </w:p>
    <w:p w14:paraId="36CEFD08" w14:textId="77777777" w:rsidR="00EE4249" w:rsidRDefault="00EE4249" w:rsidP="006A2165">
      <w:pPr>
        <w:pStyle w:val="ListParagraph"/>
        <w:spacing w:after="0" w:line="240" w:lineRule="auto"/>
      </w:pPr>
    </w:p>
    <w:p w14:paraId="3D924093" w14:textId="08314BD9" w:rsidR="00854371" w:rsidRDefault="009B1EC6" w:rsidP="006A2165">
      <w:pPr>
        <w:pStyle w:val="NoSpacing"/>
        <w:numPr>
          <w:ilvl w:val="0"/>
          <w:numId w:val="0"/>
        </w:numPr>
      </w:pPr>
      <w:r w:rsidRPr="000D5A16">
        <w:t>With re</w:t>
      </w:r>
      <w:r w:rsidR="00E304D9" w:rsidRPr="000D5A16">
        <w:t xml:space="preserve">spect to the </w:t>
      </w:r>
      <w:r w:rsidR="00820591" w:rsidRPr="000D5A16">
        <w:t>F</w:t>
      </w:r>
      <w:r w:rsidR="00E304D9" w:rsidRPr="000D5A16">
        <w:t xml:space="preserve">irst </w:t>
      </w:r>
      <w:r w:rsidR="00820591" w:rsidRPr="000D5A16">
        <w:t>H</w:t>
      </w:r>
      <w:r w:rsidR="00D207AD" w:rsidRPr="000D5A16">
        <w:t>urdle</w:t>
      </w:r>
      <w:r w:rsidR="00E304D9" w:rsidRPr="000D5A16">
        <w:t xml:space="preserve">, the </w:t>
      </w:r>
      <w:r w:rsidR="001D30E3">
        <w:t>CA</w:t>
      </w:r>
      <w:r w:rsidR="001D30E3" w:rsidRPr="000D5A16">
        <w:t xml:space="preserve"> </w:t>
      </w:r>
      <w:r w:rsidR="00E304D9" w:rsidRPr="000D5A16">
        <w:t>used the example of EJD proceedings to illustrate</w:t>
      </w:r>
      <w:r w:rsidR="007977B5">
        <w:t xml:space="preserve"> how the nature of proceedings in which documents were disclosed would affect the application of the </w:t>
      </w:r>
      <w:r w:rsidR="007977B5">
        <w:rPr>
          <w:i/>
          <w:iCs/>
        </w:rPr>
        <w:t xml:space="preserve">Riddick </w:t>
      </w:r>
      <w:r w:rsidR="007977B5">
        <w:t>principle</w:t>
      </w:r>
      <w:r w:rsidR="00E304D9">
        <w:t xml:space="preserve">. EJD proceedings involve </w:t>
      </w:r>
      <w:r w:rsidR="00C7684E">
        <w:t>an</w:t>
      </w:r>
      <w:r w:rsidR="00E304D9">
        <w:t xml:space="preserve"> exercise in obtaining information to assist in the enforcement of a judgment debt. </w:t>
      </w:r>
      <w:r w:rsidR="00096686">
        <w:t>Thus</w:t>
      </w:r>
      <w:r w:rsidR="00AC1811">
        <w:t>,</w:t>
      </w:r>
      <w:r w:rsidR="00E304D9">
        <w:t xml:space="preserve"> the judgment debtor would </w:t>
      </w:r>
      <w:r w:rsidR="00AC1811">
        <w:t xml:space="preserve">certainly </w:t>
      </w:r>
      <w:r w:rsidR="00E304D9">
        <w:t xml:space="preserve">know that information disclosed in the </w:t>
      </w:r>
      <w:r w:rsidR="00AC1811">
        <w:t xml:space="preserve">course </w:t>
      </w:r>
      <w:r w:rsidR="00E304D9">
        <w:t xml:space="preserve">of EJD proceedings </w:t>
      </w:r>
      <w:r w:rsidR="006768C9">
        <w:t xml:space="preserve">would </w:t>
      </w:r>
      <w:r w:rsidR="00E304D9">
        <w:t xml:space="preserve">be used for subsequent related proceedings. </w:t>
      </w:r>
      <w:r w:rsidR="00E3306D">
        <w:t>In contrast, in</w:t>
      </w:r>
      <w:r w:rsidR="00E304D9">
        <w:t xml:space="preserve"> specific discovery in the course of an action</w:t>
      </w:r>
      <w:r w:rsidR="00E3306D">
        <w:t>, t</w:t>
      </w:r>
      <w:r w:rsidR="00E304D9">
        <w:t xml:space="preserve">he party producing documents pursuant to such discovery applications would have the expectation that the documents would </w:t>
      </w:r>
      <w:r w:rsidR="00E304D9" w:rsidRPr="006777B2">
        <w:rPr>
          <w:i/>
          <w:iCs/>
        </w:rPr>
        <w:t>only</w:t>
      </w:r>
      <w:r w:rsidR="00E304D9">
        <w:t xml:space="preserve"> be used for the purposes of that action. Unlike</w:t>
      </w:r>
      <w:r w:rsidR="00515090">
        <w:t xml:space="preserve"> in EJD proceedings, t</w:t>
      </w:r>
      <w:r w:rsidR="00E304D9">
        <w:t xml:space="preserve">here would be no expectation that the documents </w:t>
      </w:r>
      <w:r w:rsidR="004F7AB9">
        <w:t xml:space="preserve">would </w:t>
      </w:r>
      <w:r w:rsidR="00E304D9">
        <w:t>be used in related proceedings.</w:t>
      </w:r>
    </w:p>
    <w:p w14:paraId="03C65D86" w14:textId="77777777" w:rsidR="00515090" w:rsidRDefault="00515090" w:rsidP="006A2165">
      <w:pPr>
        <w:pStyle w:val="ListParagraph"/>
        <w:spacing w:after="0" w:line="240" w:lineRule="auto"/>
      </w:pPr>
    </w:p>
    <w:p w14:paraId="58DBCFF9" w14:textId="00BB836A" w:rsidR="00515090" w:rsidRDefault="00C7684E" w:rsidP="006A2165">
      <w:pPr>
        <w:pStyle w:val="NoSpacing"/>
        <w:numPr>
          <w:ilvl w:val="0"/>
          <w:numId w:val="0"/>
        </w:numPr>
      </w:pPr>
      <w:r>
        <w:t xml:space="preserve">With respect to the </w:t>
      </w:r>
      <w:r w:rsidR="007977B5">
        <w:t>Second Hurdle</w:t>
      </w:r>
      <w:r w:rsidR="00515090">
        <w:t xml:space="preserve">, the </w:t>
      </w:r>
      <w:r w:rsidR="002362F5">
        <w:t xml:space="preserve">CA </w:t>
      </w:r>
      <w:r w:rsidR="00275F2D">
        <w:t xml:space="preserve">laid out three factors that were relevant in examining the nature of subsequent related proceedings: </w:t>
      </w:r>
    </w:p>
    <w:p w14:paraId="0FB9E805" w14:textId="663778BB" w:rsidR="00275F2D" w:rsidRDefault="00275F2D" w:rsidP="006A2165">
      <w:pPr>
        <w:pStyle w:val="NoSpacing"/>
        <w:numPr>
          <w:ilvl w:val="1"/>
          <w:numId w:val="65"/>
        </w:numPr>
      </w:pPr>
      <w:r w:rsidRPr="00275F2D">
        <w:rPr>
          <w:b/>
          <w:bCs/>
        </w:rPr>
        <w:t xml:space="preserve">Identity of </w:t>
      </w:r>
      <w:r w:rsidR="004F7AB9">
        <w:rPr>
          <w:b/>
          <w:bCs/>
        </w:rPr>
        <w:t>p</w:t>
      </w:r>
      <w:r w:rsidR="004F7AB9" w:rsidRPr="00275F2D">
        <w:rPr>
          <w:b/>
          <w:bCs/>
        </w:rPr>
        <w:t>arties</w:t>
      </w:r>
      <w:r>
        <w:t xml:space="preserve">: If the defendant </w:t>
      </w:r>
      <w:r w:rsidRPr="00275F2D">
        <w:t>in the related proceeding is also the defendant in the original proceeding in which the documents were obtained, a case may be made that the related proceeding constitutes enforcement against that defendant. The same could be said if the related proceeding is against an entity legally empowered or obliged to make payment on behalf of the said defendant</w:t>
      </w:r>
      <w:r w:rsidR="00EE4249">
        <w:t>.</w:t>
      </w:r>
      <w:r w:rsidRPr="00275F2D">
        <w:t xml:space="preserve"> </w:t>
      </w:r>
    </w:p>
    <w:p w14:paraId="0E5E9217" w14:textId="77777777" w:rsidR="00275F2D" w:rsidRDefault="00275F2D" w:rsidP="006A2165">
      <w:pPr>
        <w:pStyle w:val="NoSpacing"/>
        <w:numPr>
          <w:ilvl w:val="1"/>
          <w:numId w:val="2"/>
        </w:numPr>
      </w:pPr>
      <w:r w:rsidRPr="00275F2D">
        <w:rPr>
          <w:b/>
          <w:bCs/>
        </w:rPr>
        <w:t>Nature of debt</w:t>
      </w:r>
      <w:r>
        <w:t xml:space="preserve">: </w:t>
      </w:r>
      <w:r w:rsidRPr="00275F2D">
        <w:t xml:space="preserve">If the sum being pursued in the related proceedings is the same debt that forms the subject matter of the original proceedings in which documents were disclosed, this would indicate that the former set of proceedings is an enforcement of the latter. </w:t>
      </w:r>
    </w:p>
    <w:p w14:paraId="5691AC67" w14:textId="124A9AB4" w:rsidR="00275F2D" w:rsidRDefault="00275F2D" w:rsidP="006A2165">
      <w:pPr>
        <w:pStyle w:val="NoSpacing"/>
        <w:numPr>
          <w:ilvl w:val="1"/>
          <w:numId w:val="2"/>
        </w:numPr>
      </w:pPr>
      <w:r>
        <w:rPr>
          <w:b/>
          <w:bCs/>
        </w:rPr>
        <w:t xml:space="preserve">Nature of related proceedings: </w:t>
      </w:r>
      <w:r w:rsidRPr="00275F2D">
        <w:t xml:space="preserve">The question under this factor is whether the related proceedings can be considered “enforcement” in the ordinary sense, </w:t>
      </w:r>
      <w:proofErr w:type="spellStart"/>
      <w:r w:rsidRPr="00275F2D">
        <w:rPr>
          <w:i/>
          <w:iCs/>
        </w:rPr>
        <w:t>ie</w:t>
      </w:r>
      <w:proofErr w:type="spellEnd"/>
      <w:r w:rsidRPr="00275F2D">
        <w:t xml:space="preserve">, modes of execution or proceedings that facilitate the payment of judgment debts owing to a plaintiff. </w:t>
      </w:r>
    </w:p>
    <w:p w14:paraId="33C04CAC" w14:textId="77777777" w:rsidR="00275F2D" w:rsidRDefault="00275F2D" w:rsidP="006A2165">
      <w:pPr>
        <w:pStyle w:val="ListParagraph"/>
        <w:spacing w:after="0" w:line="240" w:lineRule="auto"/>
      </w:pPr>
    </w:p>
    <w:p w14:paraId="111C0096" w14:textId="791F80E9" w:rsidR="00275F2D" w:rsidRDefault="00275F2D" w:rsidP="006A2165">
      <w:pPr>
        <w:pStyle w:val="NoSpacing"/>
        <w:numPr>
          <w:ilvl w:val="0"/>
          <w:numId w:val="0"/>
        </w:numPr>
      </w:pPr>
      <w:r>
        <w:t>If the related proceeding complies with the above factors, the party using the protected documents would not require the leave of court</w:t>
      </w:r>
      <w:r w:rsidR="00835553">
        <w:t xml:space="preserve"> </w:t>
      </w:r>
      <w:r w:rsidR="00B07D56">
        <w:t xml:space="preserve">to use the documents in the proceeding, </w:t>
      </w:r>
      <w:r>
        <w:t xml:space="preserve">despite the existence of the </w:t>
      </w:r>
      <w:r>
        <w:rPr>
          <w:i/>
          <w:iCs/>
        </w:rPr>
        <w:t xml:space="preserve">Riddick </w:t>
      </w:r>
      <w:r>
        <w:t xml:space="preserve">undertaking. </w:t>
      </w:r>
    </w:p>
    <w:p w14:paraId="7CB06FF3" w14:textId="17C3AC19" w:rsidR="0095157A" w:rsidRDefault="0095157A" w:rsidP="006A2165">
      <w:pPr>
        <w:pStyle w:val="NoSpacing"/>
        <w:numPr>
          <w:ilvl w:val="0"/>
          <w:numId w:val="0"/>
        </w:numPr>
        <w:ind w:left="720" w:hanging="720"/>
      </w:pPr>
    </w:p>
    <w:p w14:paraId="57600AAF" w14:textId="37A72960" w:rsidR="0095157A" w:rsidRDefault="0095157A" w:rsidP="006A2165">
      <w:pPr>
        <w:pStyle w:val="NoSpacing"/>
        <w:numPr>
          <w:ilvl w:val="0"/>
          <w:numId w:val="18"/>
        </w:numPr>
        <w:ind w:hanging="720"/>
        <w:rPr>
          <w:i/>
          <w:iCs/>
        </w:rPr>
      </w:pPr>
      <w:r>
        <w:rPr>
          <w:i/>
          <w:iCs/>
        </w:rPr>
        <w:t xml:space="preserve">Conceptual Difference between the First and Second Category </w:t>
      </w:r>
    </w:p>
    <w:p w14:paraId="2AC70123" w14:textId="5BED7B34" w:rsidR="00275F2D" w:rsidRDefault="00275F2D" w:rsidP="006A2165">
      <w:pPr>
        <w:pStyle w:val="NoSpacing"/>
        <w:numPr>
          <w:ilvl w:val="0"/>
          <w:numId w:val="0"/>
        </w:numPr>
      </w:pPr>
      <w:r>
        <w:t xml:space="preserve">The </w:t>
      </w:r>
      <w:r w:rsidR="00FA1D5E">
        <w:t xml:space="preserve">CA </w:t>
      </w:r>
      <w:r>
        <w:t xml:space="preserve">also reiterated the difference between the </w:t>
      </w:r>
      <w:r w:rsidR="00FA1D5E">
        <w:t xml:space="preserve">First </w:t>
      </w:r>
      <w:r>
        <w:t xml:space="preserve">and </w:t>
      </w:r>
      <w:r w:rsidR="00FA1D5E">
        <w:t>Second C</w:t>
      </w:r>
      <w:r>
        <w:t xml:space="preserve">ategories. Under the </w:t>
      </w:r>
      <w:r w:rsidR="000722EA">
        <w:t>First Category</w:t>
      </w:r>
      <w:r>
        <w:t xml:space="preserve">, </w:t>
      </w:r>
      <w:r w:rsidR="0095157A">
        <w:t xml:space="preserve">where the element of compulsion is absent, the </w:t>
      </w:r>
      <w:r w:rsidR="0095157A">
        <w:rPr>
          <w:i/>
          <w:iCs/>
        </w:rPr>
        <w:t xml:space="preserve">Riddick </w:t>
      </w:r>
      <w:r w:rsidR="0095157A">
        <w:t>principle does not apply. On the other hand, when document</w:t>
      </w:r>
      <w:r w:rsidR="004F7436">
        <w:t>s</w:t>
      </w:r>
      <w:r w:rsidR="0095157A">
        <w:t xml:space="preserve"> fall under the </w:t>
      </w:r>
      <w:r w:rsidR="006E53BB">
        <w:t>S</w:t>
      </w:r>
      <w:r w:rsidR="0095157A">
        <w:t xml:space="preserve">econd </w:t>
      </w:r>
      <w:r w:rsidR="006E53BB">
        <w:t>C</w:t>
      </w:r>
      <w:r w:rsidR="0095157A">
        <w:t xml:space="preserve">ategory, the </w:t>
      </w:r>
      <w:r w:rsidR="0095157A">
        <w:rPr>
          <w:i/>
          <w:iCs/>
        </w:rPr>
        <w:t xml:space="preserve">Riddick </w:t>
      </w:r>
      <w:r w:rsidR="0095157A">
        <w:t xml:space="preserve">undertaking applies and will continue to </w:t>
      </w:r>
      <w:r w:rsidR="00D207AD">
        <w:t>cover the documents in question</w:t>
      </w:r>
      <w:r w:rsidR="0095157A">
        <w:t xml:space="preserve">. However, specific use of the documents in related enforcement </w:t>
      </w:r>
      <w:r w:rsidR="00D207AD">
        <w:t xml:space="preserve">proceedings </w:t>
      </w:r>
      <w:r w:rsidR="0095157A">
        <w:t xml:space="preserve">is not a breach of the </w:t>
      </w:r>
      <w:r w:rsidR="0095157A">
        <w:rPr>
          <w:i/>
          <w:iCs/>
        </w:rPr>
        <w:t>Riddick</w:t>
      </w:r>
      <w:r w:rsidR="0095157A">
        <w:t xml:space="preserve"> undertaking</w:t>
      </w:r>
      <w:r w:rsidR="00D207AD">
        <w:t>.</w:t>
      </w:r>
      <w:r w:rsidR="0095157A">
        <w:t xml:space="preserve"> The implication of this is that while the documents can be used for enforcement proceedings, it may not be permissible to use them in </w:t>
      </w:r>
      <w:r w:rsidR="0095157A">
        <w:rPr>
          <w:i/>
          <w:iCs/>
        </w:rPr>
        <w:t xml:space="preserve">another </w:t>
      </w:r>
      <w:r w:rsidR="0095157A">
        <w:t>distinct set of proceedings.</w:t>
      </w:r>
    </w:p>
    <w:p w14:paraId="531DA7EF" w14:textId="77777777" w:rsidR="00275F2D" w:rsidRDefault="00275F2D" w:rsidP="006A2165">
      <w:pPr>
        <w:pStyle w:val="NoSpacing"/>
        <w:numPr>
          <w:ilvl w:val="0"/>
          <w:numId w:val="0"/>
        </w:numPr>
        <w:ind w:left="720" w:hanging="720"/>
      </w:pPr>
    </w:p>
    <w:p w14:paraId="365F8D18" w14:textId="6DF65703" w:rsidR="0095157A" w:rsidRDefault="0095157A" w:rsidP="006A2165">
      <w:pPr>
        <w:pStyle w:val="NoSpacing"/>
        <w:numPr>
          <w:ilvl w:val="0"/>
          <w:numId w:val="18"/>
        </w:numPr>
        <w:ind w:hanging="720"/>
        <w:rPr>
          <w:i/>
          <w:iCs/>
        </w:rPr>
      </w:pPr>
      <w:r>
        <w:rPr>
          <w:i/>
          <w:iCs/>
        </w:rPr>
        <w:t xml:space="preserve">Application </w:t>
      </w:r>
    </w:p>
    <w:p w14:paraId="35B83A37" w14:textId="409C6484" w:rsidR="0095157A" w:rsidRDefault="0095157A" w:rsidP="006A2165">
      <w:pPr>
        <w:pStyle w:val="NoSpacing"/>
        <w:numPr>
          <w:ilvl w:val="0"/>
          <w:numId w:val="0"/>
        </w:numPr>
      </w:pPr>
      <w:r>
        <w:t xml:space="preserve">Applying the </w:t>
      </w:r>
      <w:r w:rsidR="00501788">
        <w:t xml:space="preserve">above </w:t>
      </w:r>
      <w:r w:rsidR="00490783">
        <w:t xml:space="preserve">framework to the </w:t>
      </w:r>
      <w:r w:rsidR="004F7436">
        <w:t xml:space="preserve">present </w:t>
      </w:r>
      <w:r w:rsidR="00490783">
        <w:t xml:space="preserve">case, the </w:t>
      </w:r>
      <w:r w:rsidR="006A35DF">
        <w:t xml:space="preserve">CA </w:t>
      </w:r>
      <w:r w:rsidR="00490783">
        <w:t xml:space="preserve">held that the EJD documents were clearly covered by the </w:t>
      </w:r>
      <w:r w:rsidR="00490783">
        <w:rPr>
          <w:i/>
          <w:iCs/>
        </w:rPr>
        <w:t xml:space="preserve">Riddick </w:t>
      </w:r>
      <w:r w:rsidR="00490783">
        <w:t xml:space="preserve">undertaking as they were disclosed by OSP on compulsion </w:t>
      </w:r>
      <w:r w:rsidR="006A35DF">
        <w:lastRenderedPageBreak/>
        <w:t>during the course of</w:t>
      </w:r>
      <w:r w:rsidR="00490783">
        <w:t xml:space="preserve"> the EJD proceedings. Hence, the present case did not fall under the </w:t>
      </w:r>
      <w:r w:rsidR="009E390B">
        <w:t>F</w:t>
      </w:r>
      <w:r w:rsidR="00490783">
        <w:t xml:space="preserve">irst </w:t>
      </w:r>
      <w:r w:rsidR="00191640">
        <w:t>Category</w:t>
      </w:r>
      <w:r w:rsidR="00490783">
        <w:t xml:space="preserve">. </w:t>
      </w:r>
    </w:p>
    <w:p w14:paraId="483F9CCC" w14:textId="77777777" w:rsidR="00490783" w:rsidRDefault="00490783" w:rsidP="006A2165">
      <w:pPr>
        <w:pStyle w:val="NoSpacing"/>
        <w:numPr>
          <w:ilvl w:val="0"/>
          <w:numId w:val="0"/>
        </w:numPr>
        <w:ind w:left="720"/>
      </w:pPr>
    </w:p>
    <w:p w14:paraId="5D3FFC8C" w14:textId="648C23AC" w:rsidR="0052655A" w:rsidRDefault="00490783" w:rsidP="006A2165">
      <w:pPr>
        <w:pStyle w:val="NoSpacing"/>
        <w:numPr>
          <w:ilvl w:val="0"/>
          <w:numId w:val="0"/>
        </w:numPr>
      </w:pPr>
      <w:r>
        <w:t>Next, Jane sought to argue that Suit 47 was an “enforcement</w:t>
      </w:r>
      <w:r w:rsidR="00492999">
        <w:t xml:space="preserve">” of BC 118 and thus the EJD documents could be used without leave of court. The </w:t>
      </w:r>
      <w:r w:rsidR="00D06B6B">
        <w:t>CA</w:t>
      </w:r>
      <w:r w:rsidR="00492999">
        <w:t xml:space="preserve"> held that the </w:t>
      </w:r>
      <w:r w:rsidR="006777B2">
        <w:t>F</w:t>
      </w:r>
      <w:r w:rsidR="00492999">
        <w:t xml:space="preserve">irst </w:t>
      </w:r>
      <w:r w:rsidR="006777B2">
        <w:t>H</w:t>
      </w:r>
      <w:r w:rsidR="00492999">
        <w:t xml:space="preserve">urdle was crossed as the EJD documents </w:t>
      </w:r>
      <w:r w:rsidR="00191640">
        <w:t xml:space="preserve">had been </w:t>
      </w:r>
      <w:r w:rsidR="00492999">
        <w:t xml:space="preserve">disclosed in the </w:t>
      </w:r>
      <w:r w:rsidR="00E4182B">
        <w:t xml:space="preserve">course </w:t>
      </w:r>
      <w:r w:rsidR="00492999">
        <w:t xml:space="preserve">of </w:t>
      </w:r>
      <w:r w:rsidR="00191640">
        <w:t xml:space="preserve">the </w:t>
      </w:r>
      <w:r w:rsidR="00492999">
        <w:t xml:space="preserve">EJD proceedings. Therefore, the Estate had knowledge that </w:t>
      </w:r>
      <w:r w:rsidR="004E50FA">
        <w:t xml:space="preserve">they </w:t>
      </w:r>
      <w:r w:rsidR="00492999">
        <w:t xml:space="preserve">would likely be used in subsequent related enforcement proceedings. </w:t>
      </w:r>
    </w:p>
    <w:p w14:paraId="7AC87B12" w14:textId="77777777" w:rsidR="0052655A" w:rsidRDefault="0052655A" w:rsidP="006A2165">
      <w:pPr>
        <w:pStyle w:val="ListParagraph"/>
        <w:spacing w:after="0" w:line="240" w:lineRule="auto"/>
      </w:pPr>
    </w:p>
    <w:p w14:paraId="194D2623" w14:textId="3927582B" w:rsidR="00490783" w:rsidRDefault="00492999" w:rsidP="006A2165">
      <w:pPr>
        <w:pStyle w:val="NoSpacing"/>
        <w:numPr>
          <w:ilvl w:val="0"/>
          <w:numId w:val="0"/>
        </w:numPr>
      </w:pPr>
      <w:r>
        <w:t xml:space="preserve">Jane’s case, however, fell on the </w:t>
      </w:r>
      <w:r w:rsidR="006777B2">
        <w:t>S</w:t>
      </w:r>
      <w:r>
        <w:t>econd</w:t>
      </w:r>
      <w:r w:rsidR="006777B2">
        <w:t xml:space="preserve"> H</w:t>
      </w:r>
      <w:r>
        <w:t>urdle</w:t>
      </w:r>
      <w:r w:rsidR="0052655A">
        <w:t xml:space="preserve">. </w:t>
      </w:r>
      <w:r>
        <w:t xml:space="preserve">BC 118 and the EJD proceedings were strictly against the Estate, while Suit 47 was against OSP. </w:t>
      </w:r>
      <w:r w:rsidR="0052655A">
        <w:t xml:space="preserve">Further, Suit 47 was in respect of a different cause of action. </w:t>
      </w:r>
      <w:r w:rsidR="00843500">
        <w:t xml:space="preserve">Notably, </w:t>
      </w:r>
      <w:r w:rsidR="0052655A">
        <w:t>Jane sought to use the EJD documents to sue OSP for different reliefs, and not to directly enforce the costs order in BC 118. Suit 47 therefore was not an enforcement of the judgment debt owed by the Estate.</w:t>
      </w:r>
      <w:r w:rsidR="00E4182B">
        <w:t xml:space="preserve"> </w:t>
      </w:r>
      <w:r w:rsidR="0052655A">
        <w:t>Lastly, Suit 47 was a pending civil suit and could not be characterised as</w:t>
      </w:r>
      <w:r w:rsidR="00191640">
        <w:t xml:space="preserve"> an</w:t>
      </w:r>
      <w:r w:rsidR="0052655A">
        <w:t xml:space="preserve"> enforcement of the orders obtained in BC 118. An ongoing civil suit </w:t>
      </w:r>
      <w:r w:rsidR="00191640">
        <w:t xml:space="preserve">does </w:t>
      </w:r>
      <w:r w:rsidR="0052655A">
        <w:t>not fall within the modes of execution under O</w:t>
      </w:r>
      <w:r w:rsidR="00A72082">
        <w:t>rder</w:t>
      </w:r>
      <w:r w:rsidR="0052655A">
        <w:t xml:space="preserve"> 45 of the Rules of Court</w:t>
      </w:r>
      <w:r w:rsidR="00A72082">
        <w:t xml:space="preserve"> (2014 Rev Ed)</w:t>
      </w:r>
      <w:r w:rsidR="0052655A">
        <w:t xml:space="preserve">, and does not, </w:t>
      </w:r>
      <w:r w:rsidR="00A72082">
        <w:t xml:space="preserve">in and </w:t>
      </w:r>
      <w:r w:rsidR="0052655A">
        <w:t xml:space="preserve">of itself, compel payment in satisfaction of a debt. </w:t>
      </w:r>
    </w:p>
    <w:p w14:paraId="346CD764" w14:textId="77777777" w:rsidR="0052655A" w:rsidRDefault="0052655A" w:rsidP="006A2165">
      <w:pPr>
        <w:pStyle w:val="ListParagraph"/>
        <w:spacing w:after="0" w:line="240" w:lineRule="auto"/>
      </w:pPr>
    </w:p>
    <w:p w14:paraId="06A97E2E" w14:textId="62D6CF43" w:rsidR="00CF7A04" w:rsidRDefault="0052655A" w:rsidP="006A2165">
      <w:pPr>
        <w:pStyle w:val="NoSpacing"/>
        <w:numPr>
          <w:ilvl w:val="0"/>
          <w:numId w:val="0"/>
        </w:numPr>
      </w:pPr>
      <w:r>
        <w:t>In light of the above,</w:t>
      </w:r>
      <w:r w:rsidR="00155E75">
        <w:t xml:space="preserve"> the CA held that</w:t>
      </w:r>
      <w:r>
        <w:t xml:space="preserve"> </w:t>
      </w:r>
      <w:r w:rsidR="00496F54">
        <w:t>the use of</w:t>
      </w:r>
      <w:r w:rsidR="00191640">
        <w:t xml:space="preserve"> the</w:t>
      </w:r>
      <w:r w:rsidR="00496F54">
        <w:t xml:space="preserve"> EJD documents in Suit 47 </w:t>
      </w:r>
      <w:r w:rsidR="00CF7A04">
        <w:t xml:space="preserve">did not fall within the </w:t>
      </w:r>
      <w:r w:rsidR="009E390B">
        <w:t>F</w:t>
      </w:r>
      <w:r w:rsidR="00CF7A04">
        <w:t xml:space="preserve">irst and </w:t>
      </w:r>
      <w:r w:rsidR="009E390B">
        <w:t>S</w:t>
      </w:r>
      <w:r w:rsidR="00CF7A04">
        <w:t xml:space="preserve">econd </w:t>
      </w:r>
      <w:r w:rsidR="00191640">
        <w:t>Categories</w:t>
      </w:r>
      <w:r w:rsidR="00CF7A04">
        <w:t xml:space="preserve">, and </w:t>
      </w:r>
      <w:r w:rsidR="004F7436">
        <w:t xml:space="preserve">the EJD documents </w:t>
      </w:r>
      <w:r w:rsidR="00CF7A04">
        <w:t xml:space="preserve">could </w:t>
      </w:r>
      <w:r w:rsidR="00191640">
        <w:t xml:space="preserve">not </w:t>
      </w:r>
      <w:r w:rsidR="00CF7A04">
        <w:t xml:space="preserve">be used without leave of court. The </w:t>
      </w:r>
      <w:r w:rsidR="00155E75">
        <w:t xml:space="preserve">CA </w:t>
      </w:r>
      <w:r w:rsidR="00CF7A04">
        <w:t xml:space="preserve">therefore dismissed Jane’s appeal </w:t>
      </w:r>
      <w:r w:rsidR="00E4182B">
        <w:t xml:space="preserve">on </w:t>
      </w:r>
      <w:r w:rsidR="00A72082">
        <w:t xml:space="preserve">Prayer </w:t>
      </w:r>
      <w:r w:rsidR="00CF7A04">
        <w:t xml:space="preserve">1. </w:t>
      </w:r>
    </w:p>
    <w:p w14:paraId="79DE7BD4" w14:textId="77777777" w:rsidR="00CF7A04" w:rsidRDefault="00CF7A04" w:rsidP="006A2165">
      <w:pPr>
        <w:pStyle w:val="ListParagraph"/>
        <w:spacing w:after="0" w:line="240" w:lineRule="auto"/>
      </w:pPr>
    </w:p>
    <w:p w14:paraId="67417291" w14:textId="65DA1B86" w:rsidR="00CF7A04" w:rsidRDefault="00E4182B" w:rsidP="006A2165">
      <w:pPr>
        <w:pStyle w:val="NoSpacing"/>
        <w:numPr>
          <w:ilvl w:val="0"/>
          <w:numId w:val="17"/>
        </w:numPr>
        <w:ind w:hanging="720"/>
        <w:rPr>
          <w:b/>
          <w:bCs/>
          <w:i/>
          <w:iCs/>
        </w:rPr>
      </w:pPr>
      <w:r>
        <w:rPr>
          <w:b/>
          <w:bCs/>
          <w:i/>
          <w:iCs/>
        </w:rPr>
        <w:t xml:space="preserve">Whether leave of court </w:t>
      </w:r>
      <w:r w:rsidR="00EA28AF">
        <w:rPr>
          <w:b/>
          <w:bCs/>
          <w:i/>
          <w:iCs/>
        </w:rPr>
        <w:t xml:space="preserve">should </w:t>
      </w:r>
      <w:r>
        <w:rPr>
          <w:b/>
          <w:bCs/>
          <w:i/>
          <w:iCs/>
        </w:rPr>
        <w:t>nevertheless be granted to use the EJD documents to pursue Suit 47</w:t>
      </w:r>
    </w:p>
    <w:p w14:paraId="3BFA019C" w14:textId="7B5EC9E1" w:rsidR="00CF7A04" w:rsidRDefault="00CF7A04" w:rsidP="006A2165">
      <w:pPr>
        <w:pStyle w:val="NoSpacing"/>
        <w:numPr>
          <w:ilvl w:val="0"/>
          <w:numId w:val="0"/>
        </w:numPr>
      </w:pPr>
      <w:r>
        <w:t xml:space="preserve">With respect to </w:t>
      </w:r>
      <w:r w:rsidR="00A72082">
        <w:t xml:space="preserve">Prayer </w:t>
      </w:r>
      <w:r>
        <w:t>2</w:t>
      </w:r>
      <w:r w:rsidR="006F2E2E">
        <w:t xml:space="preserve"> (</w:t>
      </w:r>
      <w:r w:rsidR="009E390B">
        <w:t xml:space="preserve">on whether leave of court </w:t>
      </w:r>
      <w:r w:rsidR="00EA28AF">
        <w:t xml:space="preserve">should </w:t>
      </w:r>
      <w:r w:rsidR="009E390B">
        <w:t>be granted</w:t>
      </w:r>
      <w:r w:rsidR="006F2E2E">
        <w:t xml:space="preserve">), </w:t>
      </w:r>
      <w:r>
        <w:t>the court divided its analysis into two parts:</w:t>
      </w:r>
    </w:p>
    <w:p w14:paraId="640297F7" w14:textId="7E73B3A5" w:rsidR="00CF7A04" w:rsidRDefault="005C3417" w:rsidP="006A2165">
      <w:pPr>
        <w:pStyle w:val="NoSpacing"/>
        <w:numPr>
          <w:ilvl w:val="1"/>
          <w:numId w:val="66"/>
        </w:numPr>
      </w:pPr>
      <w:r>
        <w:t>W</w:t>
      </w:r>
      <w:r w:rsidR="00CF7A04">
        <w:t xml:space="preserve">hether </w:t>
      </w:r>
      <w:r w:rsidR="0095654E">
        <w:t xml:space="preserve">the balance of interests </w:t>
      </w:r>
      <w:r w:rsidR="00EA28AF">
        <w:t xml:space="preserve">lay </w:t>
      </w:r>
      <w:r w:rsidR="0095654E">
        <w:t>for or against the grant of leave for Jane to use the EJD documents to commence and sustain Suit 47</w:t>
      </w:r>
      <w:r>
        <w:t>; and</w:t>
      </w:r>
    </w:p>
    <w:p w14:paraId="72AE6D19" w14:textId="1052D48C" w:rsidR="0095654E" w:rsidRDefault="005C3417" w:rsidP="006A2165">
      <w:pPr>
        <w:pStyle w:val="NoSpacing"/>
        <w:numPr>
          <w:ilvl w:val="1"/>
          <w:numId w:val="2"/>
        </w:numPr>
      </w:pPr>
      <w:r>
        <w:t>W</w:t>
      </w:r>
      <w:r w:rsidR="0095654E">
        <w:t xml:space="preserve">hether the fact that the leave sought was retrospective </w:t>
      </w:r>
      <w:r w:rsidR="0032583A">
        <w:t xml:space="preserve">militated </w:t>
      </w:r>
      <w:r w:rsidR="0095654E">
        <w:t>against the granting of such leave</w:t>
      </w:r>
      <w:r w:rsidR="00EA28AF">
        <w:t>, despite the conclusion on the balance of interests</w:t>
      </w:r>
      <w:r w:rsidR="009E390B">
        <w:t>.</w:t>
      </w:r>
      <w:r w:rsidR="0095654E">
        <w:t xml:space="preserve"> </w:t>
      </w:r>
    </w:p>
    <w:p w14:paraId="542CA0A2" w14:textId="1302D3F0" w:rsidR="00305B4F" w:rsidRDefault="00305B4F" w:rsidP="006A2165">
      <w:pPr>
        <w:pStyle w:val="NoSpacing"/>
        <w:numPr>
          <w:ilvl w:val="0"/>
          <w:numId w:val="0"/>
        </w:numPr>
        <w:ind w:left="720" w:hanging="720"/>
      </w:pPr>
    </w:p>
    <w:p w14:paraId="5A0B5E23" w14:textId="22C8AED1" w:rsidR="0095654E" w:rsidRDefault="00305B4F" w:rsidP="006A2165">
      <w:pPr>
        <w:pStyle w:val="NoSpacing"/>
        <w:numPr>
          <w:ilvl w:val="0"/>
          <w:numId w:val="19"/>
        </w:numPr>
        <w:ind w:hanging="720"/>
        <w:rPr>
          <w:i/>
          <w:iCs/>
        </w:rPr>
      </w:pPr>
      <w:r>
        <w:rPr>
          <w:i/>
          <w:iCs/>
        </w:rPr>
        <w:t>Balance of Interests Test</w:t>
      </w:r>
    </w:p>
    <w:p w14:paraId="68ECF763" w14:textId="37BFCB56" w:rsidR="0095654E" w:rsidRDefault="0095654E" w:rsidP="006A2165">
      <w:pPr>
        <w:pStyle w:val="NoSpacing"/>
        <w:numPr>
          <w:ilvl w:val="0"/>
          <w:numId w:val="0"/>
        </w:numPr>
      </w:pPr>
      <w:r>
        <w:t xml:space="preserve">The </w:t>
      </w:r>
      <w:r w:rsidR="003336B7">
        <w:t xml:space="preserve">CA </w:t>
      </w:r>
      <w:r>
        <w:t xml:space="preserve">explained that the court undertakes a rigorous fact-sensitive inquiry in determining whether to exercise its discretion to lift the </w:t>
      </w:r>
      <w:r>
        <w:rPr>
          <w:i/>
          <w:iCs/>
        </w:rPr>
        <w:t xml:space="preserve">Riddick </w:t>
      </w:r>
      <w:r w:rsidR="00EA28AF">
        <w:t>undertaking</w:t>
      </w:r>
      <w:r>
        <w:t xml:space="preserve">. The need to satisfy considerations of substantive fairness and justice, on one hand, must be weighed carefully against the need to protect other interests such as a defendant’s privacy and the preservation of the integrity of the court’s processes. </w:t>
      </w:r>
    </w:p>
    <w:p w14:paraId="27E07F90" w14:textId="77777777" w:rsidR="0095654E" w:rsidRDefault="0095654E" w:rsidP="006A2165">
      <w:pPr>
        <w:pStyle w:val="NoSpacing"/>
        <w:numPr>
          <w:ilvl w:val="0"/>
          <w:numId w:val="0"/>
        </w:numPr>
        <w:ind w:left="720"/>
      </w:pPr>
    </w:p>
    <w:p w14:paraId="086B5D30" w14:textId="53E86899" w:rsidR="0095654E" w:rsidRDefault="0095654E" w:rsidP="006A2165">
      <w:pPr>
        <w:pStyle w:val="NoSpacing"/>
        <w:numPr>
          <w:ilvl w:val="0"/>
          <w:numId w:val="0"/>
        </w:numPr>
      </w:pPr>
      <w:r>
        <w:t xml:space="preserve">In the present case, the </w:t>
      </w:r>
      <w:r w:rsidR="009160CA">
        <w:t xml:space="preserve">CA </w:t>
      </w:r>
      <w:r>
        <w:t xml:space="preserve">held that the balance of interests militated in favour of lifting the </w:t>
      </w:r>
      <w:r>
        <w:rPr>
          <w:i/>
          <w:iCs/>
        </w:rPr>
        <w:t xml:space="preserve">Riddick </w:t>
      </w:r>
      <w:r>
        <w:t>undertaking.</w:t>
      </w:r>
    </w:p>
    <w:p w14:paraId="242EE94F" w14:textId="77777777" w:rsidR="0095654E" w:rsidRDefault="0095654E" w:rsidP="006A2165">
      <w:pPr>
        <w:pStyle w:val="ListParagraph"/>
        <w:spacing w:after="0" w:line="240" w:lineRule="auto"/>
      </w:pPr>
    </w:p>
    <w:p w14:paraId="2F5A5FE9" w14:textId="02759B4C" w:rsidR="00CF7A04" w:rsidRDefault="0095654E" w:rsidP="006A2165">
      <w:pPr>
        <w:pStyle w:val="NoSpacing"/>
        <w:numPr>
          <w:ilvl w:val="0"/>
          <w:numId w:val="0"/>
        </w:numPr>
      </w:pPr>
      <w:r>
        <w:t xml:space="preserve">First, </w:t>
      </w:r>
      <w:r w:rsidR="007526FC">
        <w:t xml:space="preserve">there was no collateral or improper motive on Jane’s part in commencing the EJD proceedings. </w:t>
      </w:r>
      <w:r w:rsidR="007E1405">
        <w:t>In determining if there was a collateral or improper motive, the applicable</w:t>
      </w:r>
      <w:r w:rsidR="00005CC7">
        <w:t xml:space="preserve"> test</w:t>
      </w:r>
      <w:r w:rsidR="007E1405">
        <w:t xml:space="preserve"> was whether the party commenced the proceedings “for the predominant purpose of achieving something other than what the legal process was designed to achieve”. Here, Jane was motivated by the real concern that the Estate’s assets had been dissipated and that she would be left with a paper judgment in respect of the judgment debt owed to her. </w:t>
      </w:r>
    </w:p>
    <w:p w14:paraId="67C12167" w14:textId="77777777" w:rsidR="00D66085" w:rsidRDefault="00D66085" w:rsidP="006A2165">
      <w:pPr>
        <w:pStyle w:val="ListParagraph"/>
        <w:spacing w:after="0" w:line="240" w:lineRule="auto"/>
      </w:pPr>
    </w:p>
    <w:p w14:paraId="4D5957A1" w14:textId="6A204CC6" w:rsidR="00D66085" w:rsidRDefault="00D66085" w:rsidP="006A2165">
      <w:pPr>
        <w:pStyle w:val="NoSpacing"/>
        <w:numPr>
          <w:ilvl w:val="0"/>
          <w:numId w:val="0"/>
        </w:numPr>
      </w:pPr>
      <w:r>
        <w:t xml:space="preserve">Second, the EJD documents were being meaningfully used to support related proceedings, namely BC 118. On the face of the pleadings, OSP had been dissipating the Estate’s assets to </w:t>
      </w:r>
      <w:r>
        <w:lastRenderedPageBreak/>
        <w:t xml:space="preserve">the detriment of the Estate and its creditors. </w:t>
      </w:r>
      <w:r w:rsidRPr="00D66085">
        <w:t xml:space="preserve">Suit 47 was commenced to specifically address this issue. </w:t>
      </w:r>
      <w:r>
        <w:t xml:space="preserve">The </w:t>
      </w:r>
      <w:r w:rsidR="002C60BB">
        <w:t xml:space="preserve">CA </w:t>
      </w:r>
      <w:r>
        <w:t xml:space="preserve">thus expressed “grave misgivings” with respect to the alleged misappropriations by OSP and </w:t>
      </w:r>
      <w:r w:rsidR="00697BF0">
        <w:t xml:space="preserve">concluded </w:t>
      </w:r>
      <w:r>
        <w:t xml:space="preserve">that the EJD documents would assist the court in Suit 47 in arriving at a clear picture of the Estate’s affairs. </w:t>
      </w:r>
    </w:p>
    <w:p w14:paraId="5880CDE6" w14:textId="77777777" w:rsidR="00335C2E" w:rsidRDefault="00335C2E" w:rsidP="006A2165">
      <w:pPr>
        <w:pStyle w:val="NoSpacing"/>
        <w:numPr>
          <w:ilvl w:val="0"/>
          <w:numId w:val="0"/>
        </w:numPr>
      </w:pPr>
    </w:p>
    <w:p w14:paraId="1150E72B" w14:textId="5B62AB61" w:rsidR="00D66085" w:rsidRDefault="00D66085" w:rsidP="006A2165">
      <w:pPr>
        <w:pStyle w:val="NoSpacing"/>
        <w:numPr>
          <w:ilvl w:val="0"/>
          <w:numId w:val="0"/>
        </w:numPr>
      </w:pPr>
      <w:r>
        <w:t xml:space="preserve">Third, </w:t>
      </w:r>
      <w:r w:rsidR="00305B4F">
        <w:t>there were no countervailing considerations militating against the lifting of the undertaking.</w:t>
      </w:r>
    </w:p>
    <w:p w14:paraId="7FB74206" w14:textId="5061C34C" w:rsidR="0052655A" w:rsidRDefault="00496F54" w:rsidP="006A2165">
      <w:pPr>
        <w:pStyle w:val="NoSpacing"/>
        <w:numPr>
          <w:ilvl w:val="0"/>
          <w:numId w:val="0"/>
        </w:numPr>
        <w:ind w:left="720" w:hanging="720"/>
      </w:pPr>
      <w:r>
        <w:t xml:space="preserve"> </w:t>
      </w:r>
    </w:p>
    <w:p w14:paraId="547F3CC2" w14:textId="67D95507" w:rsidR="00305B4F" w:rsidRDefault="00305B4F" w:rsidP="006A2165">
      <w:pPr>
        <w:pStyle w:val="NoSpacing"/>
        <w:numPr>
          <w:ilvl w:val="0"/>
          <w:numId w:val="19"/>
        </w:numPr>
        <w:ind w:hanging="720"/>
        <w:rPr>
          <w:i/>
          <w:iCs/>
        </w:rPr>
      </w:pPr>
      <w:r>
        <w:rPr>
          <w:i/>
          <w:iCs/>
        </w:rPr>
        <w:t>Retrospective Leave</w:t>
      </w:r>
    </w:p>
    <w:p w14:paraId="48187133" w14:textId="5527D5B6" w:rsidR="00305B4F" w:rsidRDefault="00305B4F" w:rsidP="006A2165">
      <w:pPr>
        <w:pStyle w:val="NoSpacing"/>
        <w:numPr>
          <w:ilvl w:val="0"/>
          <w:numId w:val="0"/>
        </w:numPr>
      </w:pPr>
      <w:r>
        <w:t xml:space="preserve">The </w:t>
      </w:r>
      <w:r w:rsidR="00034678">
        <w:t xml:space="preserve">CA </w:t>
      </w:r>
      <w:r>
        <w:t xml:space="preserve">reiterated that retrospective leave was to be granted “very sparingly” and required “something unusual about the particular facts of a case”. </w:t>
      </w:r>
      <w:r w:rsidR="00034678">
        <w:t>Nonetheless</w:t>
      </w:r>
      <w:r>
        <w:t xml:space="preserve">, the </w:t>
      </w:r>
      <w:r w:rsidR="00034678">
        <w:t xml:space="preserve">CA </w:t>
      </w:r>
      <w:r>
        <w:t xml:space="preserve">held that the salient aspects </w:t>
      </w:r>
      <w:r w:rsidR="00697BF0">
        <w:t xml:space="preserve">of the present case </w:t>
      </w:r>
      <w:r>
        <w:t xml:space="preserve">militated in favour of a grant of retrospective leave. </w:t>
      </w:r>
    </w:p>
    <w:p w14:paraId="3283E62D" w14:textId="77777777" w:rsidR="00535A4D" w:rsidRDefault="00535A4D" w:rsidP="006A2165">
      <w:pPr>
        <w:pStyle w:val="NoSpacing"/>
        <w:numPr>
          <w:ilvl w:val="0"/>
          <w:numId w:val="0"/>
        </w:numPr>
        <w:ind w:left="720"/>
      </w:pPr>
    </w:p>
    <w:p w14:paraId="0A60160D" w14:textId="4E8B35C6" w:rsidR="00490783" w:rsidRDefault="00535A4D" w:rsidP="006A2165">
      <w:pPr>
        <w:pStyle w:val="NoSpacing"/>
        <w:numPr>
          <w:ilvl w:val="0"/>
          <w:numId w:val="0"/>
        </w:numPr>
      </w:pPr>
      <w:r>
        <w:t xml:space="preserve">The </w:t>
      </w:r>
      <w:r w:rsidR="00B34530">
        <w:t xml:space="preserve">CA </w:t>
      </w:r>
      <w:r>
        <w:t xml:space="preserve">explained that the </w:t>
      </w:r>
      <w:r w:rsidR="00697BF0">
        <w:t xml:space="preserve">present </w:t>
      </w:r>
      <w:r>
        <w:t xml:space="preserve">case was exceptional </w:t>
      </w:r>
      <w:r w:rsidR="00D90EC4">
        <w:t>given</w:t>
      </w:r>
      <w:r>
        <w:t xml:space="preserve"> the potential wrong committed by OSP</w:t>
      </w:r>
      <w:r w:rsidR="00D90EC4">
        <w:t xml:space="preserve"> and the fact that the circumstances in totality were questionable</w:t>
      </w:r>
      <w:r>
        <w:t>. In particular, if Jane’s allegations were proven true in Suit 47, this would be a “classic case of a family (wrongfully and surreptitiously) squirrelling assets away to frustrate creditors’ attempts at recovery”</w:t>
      </w:r>
      <w:r w:rsidR="005564C3">
        <w:t>.</w:t>
      </w:r>
      <w:r w:rsidR="00203567">
        <w:t xml:space="preserve"> Additionally, Jane had </w:t>
      </w:r>
      <w:r w:rsidR="00D90EC4">
        <w:t xml:space="preserve">a plausible explanation for not seeking prospective leave, namely that she had </w:t>
      </w:r>
      <w:r w:rsidR="00203567">
        <w:t>genuine concerns that OSP might resort to delay tactics while he continued dissipating the Estate’s assets.</w:t>
      </w:r>
    </w:p>
    <w:p w14:paraId="10F7EFA7" w14:textId="77777777" w:rsidR="00203567" w:rsidRDefault="00203567" w:rsidP="006A2165">
      <w:pPr>
        <w:pStyle w:val="ListParagraph"/>
        <w:spacing w:after="0" w:line="240" w:lineRule="auto"/>
      </w:pPr>
    </w:p>
    <w:p w14:paraId="0575BD9D" w14:textId="4D9AD6A7" w:rsidR="00203567" w:rsidRDefault="00203567" w:rsidP="006A2165">
      <w:pPr>
        <w:pStyle w:val="NoSpacing"/>
        <w:numPr>
          <w:ilvl w:val="0"/>
          <w:numId w:val="0"/>
        </w:numPr>
      </w:pPr>
      <w:r>
        <w:t xml:space="preserve">In light of the above, the </w:t>
      </w:r>
      <w:r w:rsidR="00CC77DA">
        <w:t xml:space="preserve">CA </w:t>
      </w:r>
      <w:r>
        <w:t xml:space="preserve">allowed Jane’s appeal on </w:t>
      </w:r>
      <w:r w:rsidR="00A72082">
        <w:t>Prayer</w:t>
      </w:r>
      <w:r w:rsidR="009E390B">
        <w:t xml:space="preserve"> 2</w:t>
      </w:r>
      <w:r>
        <w:t xml:space="preserve"> and lifted the </w:t>
      </w:r>
      <w:r>
        <w:rPr>
          <w:i/>
          <w:iCs/>
        </w:rPr>
        <w:t xml:space="preserve">Riddick </w:t>
      </w:r>
      <w:r>
        <w:t xml:space="preserve">undertaking over the EJD documents. </w:t>
      </w:r>
    </w:p>
    <w:p w14:paraId="57696C66" w14:textId="77777777" w:rsidR="0063690A" w:rsidRDefault="0063690A" w:rsidP="006A2165">
      <w:pPr>
        <w:pStyle w:val="ListParagraph"/>
        <w:spacing w:after="0" w:line="240" w:lineRule="auto"/>
      </w:pPr>
    </w:p>
    <w:p w14:paraId="71E7F651" w14:textId="37028B5E" w:rsidR="003E6977" w:rsidRDefault="003E6977" w:rsidP="006A2165">
      <w:pPr>
        <w:pStyle w:val="ListParagraph"/>
        <w:numPr>
          <w:ilvl w:val="0"/>
          <w:numId w:val="5"/>
        </w:numPr>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Conclusion </w:t>
      </w:r>
    </w:p>
    <w:p w14:paraId="3773BABF" w14:textId="4829A9D2" w:rsidR="003E6977" w:rsidRPr="0063690A" w:rsidRDefault="00266C1A" w:rsidP="006A2165">
      <w:pPr>
        <w:pStyle w:val="NoSpacing"/>
        <w:numPr>
          <w:ilvl w:val="0"/>
          <w:numId w:val="0"/>
        </w:numPr>
        <w:rPr>
          <w:b/>
        </w:rPr>
      </w:pPr>
      <w:r>
        <w:rPr>
          <w:bCs/>
        </w:rPr>
        <w:t>T</w:t>
      </w:r>
      <w:r w:rsidR="00E37785">
        <w:rPr>
          <w:bCs/>
        </w:rPr>
        <w:t xml:space="preserve">he </w:t>
      </w:r>
      <w:r>
        <w:t>CA</w:t>
      </w:r>
      <w:r>
        <w:rPr>
          <w:bCs/>
        </w:rPr>
        <w:t xml:space="preserve"> </w:t>
      </w:r>
      <w:r w:rsidR="00E37785">
        <w:rPr>
          <w:bCs/>
        </w:rPr>
        <w:t xml:space="preserve">rejected the appeal on </w:t>
      </w:r>
      <w:r w:rsidR="00A72082">
        <w:rPr>
          <w:bCs/>
        </w:rPr>
        <w:t xml:space="preserve">Prayer </w:t>
      </w:r>
      <w:r w:rsidR="00E37785">
        <w:rPr>
          <w:bCs/>
        </w:rPr>
        <w:t xml:space="preserve">1 but allowed the appeal on </w:t>
      </w:r>
      <w:r w:rsidR="00A72082">
        <w:rPr>
          <w:bCs/>
        </w:rPr>
        <w:t xml:space="preserve">Prayer </w:t>
      </w:r>
      <w:r w:rsidR="00E37785">
        <w:rPr>
          <w:bCs/>
        </w:rPr>
        <w:t xml:space="preserve">2. The net effect was that </w:t>
      </w:r>
      <w:r w:rsidR="006777B2">
        <w:rPr>
          <w:bCs/>
        </w:rPr>
        <w:t>Jane</w:t>
      </w:r>
      <w:r w:rsidR="00E37785">
        <w:rPr>
          <w:bCs/>
        </w:rPr>
        <w:t xml:space="preserve"> was allowed to use the EJD documents in Suit 47. Notably, the </w:t>
      </w:r>
      <w:r w:rsidR="008B7AD6">
        <w:rPr>
          <w:bCs/>
        </w:rPr>
        <w:t xml:space="preserve">CA </w:t>
      </w:r>
      <w:r w:rsidR="00E37785">
        <w:rPr>
          <w:bCs/>
        </w:rPr>
        <w:t xml:space="preserve">decided not to award </w:t>
      </w:r>
      <w:r w:rsidR="006777B2">
        <w:rPr>
          <w:bCs/>
        </w:rPr>
        <w:t>Jane</w:t>
      </w:r>
      <w:r w:rsidR="00E37785">
        <w:rPr>
          <w:bCs/>
        </w:rPr>
        <w:t xml:space="preserve"> costs on the issue which she prevailed on. This was due to the “layers of complications that she had added to the appeals due to her actions in the Estate’s bankruptcy</w:t>
      </w:r>
      <w:r w:rsidR="00335C2E">
        <w:rPr>
          <w:bCs/>
        </w:rPr>
        <w:t>”</w:t>
      </w:r>
      <w:r w:rsidR="00D90EC4">
        <w:rPr>
          <w:bCs/>
        </w:rPr>
        <w:t>.</w:t>
      </w:r>
    </w:p>
    <w:p w14:paraId="2AD5D5CC" w14:textId="77777777" w:rsidR="0063690A" w:rsidRPr="00C8658C" w:rsidRDefault="0063690A" w:rsidP="006A2165">
      <w:pPr>
        <w:pStyle w:val="NoSpacing"/>
        <w:numPr>
          <w:ilvl w:val="0"/>
          <w:numId w:val="0"/>
        </w:numPr>
        <w:ind w:left="720"/>
        <w:rPr>
          <w:b/>
        </w:rPr>
      </w:pPr>
    </w:p>
    <w:p w14:paraId="6108A414" w14:textId="1AF50B51" w:rsidR="003E6977" w:rsidRDefault="003E6977" w:rsidP="006A2165">
      <w:pPr>
        <w:pStyle w:val="ListParagraph"/>
        <w:numPr>
          <w:ilvl w:val="0"/>
          <w:numId w:val="5"/>
        </w:numPr>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Lessons Learn</w:t>
      </w:r>
      <w:r w:rsidR="007977B5">
        <w:rPr>
          <w:rFonts w:ascii="Times New Roman" w:hAnsi="Times New Roman" w:cs="Times New Roman"/>
          <w:b/>
          <w:sz w:val="24"/>
          <w:szCs w:val="24"/>
        </w:rPr>
        <w:t>t</w:t>
      </w:r>
    </w:p>
    <w:p w14:paraId="3CE75168" w14:textId="77276DC4" w:rsidR="00341048" w:rsidRDefault="00186F55" w:rsidP="006A2165">
      <w:pPr>
        <w:pStyle w:val="NoSpacing"/>
        <w:numPr>
          <w:ilvl w:val="0"/>
          <w:numId w:val="0"/>
        </w:numPr>
      </w:pPr>
      <w:r>
        <w:t>T</w:t>
      </w:r>
      <w:r w:rsidR="00ED644A">
        <w:t xml:space="preserve">wo key lessons can be drawn from this case. </w:t>
      </w:r>
      <w:r w:rsidR="00983824">
        <w:t xml:space="preserve">First, the </w:t>
      </w:r>
      <w:r w:rsidR="001D30E3">
        <w:t xml:space="preserve">CA’s </w:t>
      </w:r>
      <w:r w:rsidR="00983824">
        <w:t xml:space="preserve">clarification on the scope and extent of the </w:t>
      </w:r>
      <w:r w:rsidR="00983824">
        <w:rPr>
          <w:i/>
          <w:iCs/>
        </w:rPr>
        <w:t xml:space="preserve">Riddick </w:t>
      </w:r>
      <w:r w:rsidR="00983824">
        <w:t xml:space="preserve">undertaking is instructive. Parties </w:t>
      </w:r>
      <w:r w:rsidR="00BE24E8">
        <w:t>can</w:t>
      </w:r>
      <w:r w:rsidR="00983824">
        <w:t xml:space="preserve"> </w:t>
      </w:r>
      <w:r w:rsidR="00BE24E8">
        <w:t xml:space="preserve">only use documents </w:t>
      </w:r>
      <w:r w:rsidR="00341048">
        <w:t xml:space="preserve">in other separate proceedings where: </w:t>
      </w:r>
    </w:p>
    <w:p w14:paraId="33F71617" w14:textId="2FF69E16" w:rsidR="00341048" w:rsidRDefault="00341048" w:rsidP="006A2165">
      <w:pPr>
        <w:pStyle w:val="NoSpacing"/>
        <w:numPr>
          <w:ilvl w:val="1"/>
          <w:numId w:val="67"/>
        </w:numPr>
      </w:pPr>
      <w:r>
        <w:t xml:space="preserve">the documents are </w:t>
      </w:r>
      <w:r w:rsidR="00BE24E8">
        <w:t xml:space="preserve">not disclosed on compulsion (thus the </w:t>
      </w:r>
      <w:r w:rsidR="00BE24E8">
        <w:rPr>
          <w:i/>
          <w:iCs/>
        </w:rPr>
        <w:t xml:space="preserve">Riddick </w:t>
      </w:r>
      <w:r w:rsidR="00BE24E8">
        <w:t>undertaking does not apply)</w:t>
      </w:r>
      <w:r>
        <w:t>;</w:t>
      </w:r>
      <w:r w:rsidR="00BE24E8">
        <w:t xml:space="preserve"> or</w:t>
      </w:r>
      <w:r>
        <w:t xml:space="preserve"> </w:t>
      </w:r>
    </w:p>
    <w:p w14:paraId="3AA4CA53" w14:textId="7B45CBB9" w:rsidR="003E6977" w:rsidRDefault="00341048" w:rsidP="006A2165">
      <w:pPr>
        <w:pStyle w:val="NoSpacing"/>
        <w:numPr>
          <w:ilvl w:val="1"/>
          <w:numId w:val="2"/>
        </w:numPr>
      </w:pPr>
      <w:r>
        <w:t xml:space="preserve">the documents are disclosed on compulsion, </w:t>
      </w:r>
      <w:r w:rsidR="00D90EC4">
        <w:t xml:space="preserve">and are being used </w:t>
      </w:r>
      <w:r>
        <w:t xml:space="preserve">in related enforcement proceedings (thus there is no </w:t>
      </w:r>
      <w:r>
        <w:rPr>
          <w:i/>
          <w:iCs/>
        </w:rPr>
        <w:t xml:space="preserve">breach </w:t>
      </w:r>
      <w:r>
        <w:t xml:space="preserve">of the </w:t>
      </w:r>
      <w:r>
        <w:rPr>
          <w:i/>
          <w:iCs/>
        </w:rPr>
        <w:t xml:space="preserve">Riddick </w:t>
      </w:r>
      <w:r>
        <w:t>undertaking)</w:t>
      </w:r>
      <w:r w:rsidR="00C8658C">
        <w:t>.</w:t>
      </w:r>
      <w:r>
        <w:t xml:space="preserve"> </w:t>
      </w:r>
    </w:p>
    <w:p w14:paraId="033873D1" w14:textId="77777777" w:rsidR="00341048" w:rsidRDefault="00341048" w:rsidP="006A2165">
      <w:pPr>
        <w:pStyle w:val="ListParagraph"/>
        <w:spacing w:after="0" w:line="240" w:lineRule="auto"/>
      </w:pPr>
    </w:p>
    <w:p w14:paraId="6EA8ABE6" w14:textId="783A55AA" w:rsidR="00341048" w:rsidRDefault="00341048" w:rsidP="006A2165">
      <w:pPr>
        <w:pStyle w:val="NoSpacing"/>
        <w:numPr>
          <w:ilvl w:val="0"/>
          <w:numId w:val="0"/>
        </w:numPr>
      </w:pPr>
      <w:r>
        <w:t xml:space="preserve">Importantly, if the document does not fall within these two categories, parties should be mindful to seek leave of court </w:t>
      </w:r>
      <w:r>
        <w:rPr>
          <w:i/>
          <w:iCs/>
        </w:rPr>
        <w:t xml:space="preserve">prior </w:t>
      </w:r>
      <w:r>
        <w:t>to the commencement of separate legal proceedings as retrospective leave is only</w:t>
      </w:r>
      <w:r w:rsidR="00261053">
        <w:t xml:space="preserve"> granted</w:t>
      </w:r>
      <w:r>
        <w:t xml:space="preserve"> under </w:t>
      </w:r>
      <w:r w:rsidR="007977B5">
        <w:t>exceptional</w:t>
      </w:r>
      <w:r>
        <w:t xml:space="preserve"> circumstances</w:t>
      </w:r>
      <w:r w:rsidR="00261053">
        <w:t>.</w:t>
      </w:r>
    </w:p>
    <w:p w14:paraId="29E910DE" w14:textId="77777777" w:rsidR="00983824" w:rsidRDefault="00983824" w:rsidP="006A2165">
      <w:pPr>
        <w:pStyle w:val="NoSpacing"/>
        <w:numPr>
          <w:ilvl w:val="0"/>
          <w:numId w:val="0"/>
        </w:numPr>
        <w:ind w:left="720"/>
      </w:pPr>
    </w:p>
    <w:p w14:paraId="2B561747" w14:textId="7A2BF353" w:rsidR="00F57520" w:rsidRDefault="007977B5" w:rsidP="006A2165">
      <w:pPr>
        <w:pStyle w:val="NoSpacing"/>
        <w:numPr>
          <w:ilvl w:val="0"/>
          <w:numId w:val="0"/>
        </w:numPr>
      </w:pPr>
      <w:r>
        <w:t>The second lesson that can be drawn is</w:t>
      </w:r>
      <w:r w:rsidR="00983824">
        <w:t xml:space="preserve"> the importance of proper case management. Parties should be careful not to file applications without proper understanding of their effects or consequences. Failing which, these applications risk being struck out for abuse of process or the </w:t>
      </w:r>
      <w:r w:rsidR="00341048">
        <w:t>imposition</w:t>
      </w:r>
      <w:r w:rsidR="00983824">
        <w:t xml:space="preserve"> of costs consequences</w:t>
      </w:r>
      <w:r w:rsidR="00341048">
        <w:t>.</w:t>
      </w:r>
    </w:p>
    <w:p w14:paraId="442620CE" w14:textId="77777777" w:rsidR="00F57520" w:rsidRPr="00866B45" w:rsidRDefault="00F57520" w:rsidP="006777B2">
      <w:pPr>
        <w:widowControl w:val="0"/>
        <w:pBdr>
          <w:bottom w:val="single" w:sz="12" w:space="1" w:color="auto"/>
        </w:pBdr>
        <w:autoSpaceDE w:val="0"/>
        <w:autoSpaceDN w:val="0"/>
        <w:spacing w:after="0" w:line="240" w:lineRule="auto"/>
      </w:pPr>
    </w:p>
    <w:p w14:paraId="05C55B3A" w14:textId="451DB850" w:rsidR="00F57520" w:rsidRPr="00D21A16" w:rsidRDefault="00F57520" w:rsidP="006777B2">
      <w:pPr>
        <w:pStyle w:val="FootnoteText"/>
        <w:widowControl w:val="0"/>
        <w:autoSpaceDE w:val="0"/>
        <w:autoSpaceDN w:val="0"/>
        <w:spacing w:after="0"/>
        <w:rPr>
          <w:rFonts w:ascii="Times New Roman" w:hAnsi="Times New Roman"/>
        </w:rPr>
      </w:pPr>
      <w:r w:rsidRPr="00D21A16">
        <w:rPr>
          <w:rFonts w:ascii="Times New Roman" w:hAnsi="Times New Roman"/>
        </w:rPr>
        <w:t xml:space="preserve">Written by: </w:t>
      </w:r>
      <w:r>
        <w:rPr>
          <w:rFonts w:ascii="Times New Roman" w:hAnsi="Times New Roman"/>
        </w:rPr>
        <w:t>Ezra Lim Pin</w:t>
      </w:r>
      <w:r w:rsidRPr="00201F85">
        <w:rPr>
          <w:rFonts w:ascii="Times New Roman" w:hAnsi="Times New Roman"/>
        </w:rPr>
        <w:t xml:space="preserve">, </w:t>
      </w:r>
      <w:r w:rsidRPr="00FB2974">
        <w:rPr>
          <w:rFonts w:ascii="Times New Roman" w:hAnsi="Times New Roman"/>
        </w:rPr>
        <w:t>3rd-Year</w:t>
      </w:r>
      <w:r w:rsidRPr="00201F85">
        <w:rPr>
          <w:rFonts w:ascii="Times New Roman" w:hAnsi="Times New Roman"/>
        </w:rPr>
        <w:t xml:space="preserve"> LLB student, Singapore Management University Yong </w:t>
      </w:r>
      <w:proofErr w:type="spellStart"/>
      <w:r w:rsidRPr="00201F85">
        <w:rPr>
          <w:rFonts w:ascii="Times New Roman" w:hAnsi="Times New Roman"/>
        </w:rPr>
        <w:t>Pung</w:t>
      </w:r>
      <w:proofErr w:type="spellEnd"/>
      <w:r w:rsidRPr="00201F85">
        <w:rPr>
          <w:rFonts w:ascii="Times New Roman" w:hAnsi="Times New Roman"/>
        </w:rPr>
        <w:t xml:space="preserve"> How School of Law.</w:t>
      </w:r>
      <w:r w:rsidRPr="00D21A16">
        <w:rPr>
          <w:rFonts w:ascii="Times New Roman" w:hAnsi="Times New Roman"/>
        </w:rPr>
        <w:t xml:space="preserve"> </w:t>
      </w:r>
    </w:p>
    <w:p w14:paraId="3CC4A739" w14:textId="53A70116" w:rsidR="00E44931" w:rsidRPr="00D77128" w:rsidRDefault="00F57520" w:rsidP="005564C3">
      <w:pPr>
        <w:pStyle w:val="FootnoteText"/>
        <w:widowControl w:val="0"/>
        <w:autoSpaceDE w:val="0"/>
        <w:autoSpaceDN w:val="0"/>
        <w:spacing w:after="0"/>
        <w:rPr>
          <w:rFonts w:ascii="Times New Roman" w:hAnsi="Times New Roman" w:cs="Times New Roman"/>
          <w:i/>
          <w:sz w:val="24"/>
          <w:szCs w:val="24"/>
        </w:rPr>
      </w:pPr>
      <w:r w:rsidRPr="00D21A16">
        <w:rPr>
          <w:rFonts w:ascii="Times New Roman" w:hAnsi="Times New Roman"/>
        </w:rPr>
        <w:t xml:space="preserve">Edited by: </w:t>
      </w:r>
      <w:r w:rsidR="00943F9B">
        <w:rPr>
          <w:rFonts w:ascii="Times New Roman" w:hAnsi="Times New Roman"/>
        </w:rPr>
        <w:t>Faculty</w:t>
      </w:r>
      <w:r w:rsidRPr="00D21A16">
        <w:rPr>
          <w:rFonts w:ascii="Times New Roman" w:hAnsi="Times New Roman"/>
        </w:rPr>
        <w:t xml:space="preserve">, Singapore Management University Yong </w:t>
      </w:r>
      <w:proofErr w:type="spellStart"/>
      <w:r w:rsidRPr="00D21A16">
        <w:rPr>
          <w:rFonts w:ascii="Times New Roman" w:hAnsi="Times New Roman"/>
        </w:rPr>
        <w:t>Pung</w:t>
      </w:r>
      <w:proofErr w:type="spellEnd"/>
      <w:r w:rsidRPr="00D21A16">
        <w:rPr>
          <w:rFonts w:ascii="Times New Roman" w:hAnsi="Times New Roman"/>
        </w:rPr>
        <w:t xml:space="preserve"> How School of Law.</w:t>
      </w:r>
    </w:p>
    <w:sectPr w:rsidR="00E44931" w:rsidRPr="00D77128">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9C968" w14:textId="77777777" w:rsidR="000B11CC" w:rsidRDefault="000B11CC" w:rsidP="00A610E2">
      <w:pPr>
        <w:spacing w:after="0" w:line="240" w:lineRule="auto"/>
      </w:pPr>
      <w:r>
        <w:separator/>
      </w:r>
    </w:p>
  </w:endnote>
  <w:endnote w:type="continuationSeparator" w:id="0">
    <w:p w14:paraId="0B783E93" w14:textId="77777777" w:rsidR="000B11CC" w:rsidRDefault="000B11CC" w:rsidP="00A61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6FFCD" w14:textId="77777777" w:rsidR="000B11CC" w:rsidRDefault="000B11CC" w:rsidP="00A610E2">
      <w:pPr>
        <w:spacing w:after="0" w:line="240" w:lineRule="auto"/>
      </w:pPr>
      <w:r>
        <w:separator/>
      </w:r>
    </w:p>
  </w:footnote>
  <w:footnote w:type="continuationSeparator" w:id="0">
    <w:p w14:paraId="57380DAA" w14:textId="77777777" w:rsidR="000B11CC" w:rsidRDefault="000B11CC" w:rsidP="00A610E2">
      <w:pPr>
        <w:spacing w:after="0" w:line="240" w:lineRule="auto"/>
      </w:pPr>
      <w:r>
        <w:continuationSeparator/>
      </w:r>
    </w:p>
  </w:footnote>
  <w:footnote w:id="1">
    <w:p w14:paraId="77551435" w14:textId="110E7070" w:rsidR="00F31387" w:rsidRPr="006777B2" w:rsidRDefault="00F31387" w:rsidP="006777B2">
      <w:pPr>
        <w:pStyle w:val="FootnoteText"/>
        <w:jc w:val="both"/>
        <w:rPr>
          <w:lang w:val="en-US"/>
        </w:rPr>
      </w:pPr>
      <w:r w:rsidRPr="006777B2">
        <w:rPr>
          <w:rStyle w:val="FootnoteReference"/>
          <w:rFonts w:ascii="Times New Roman" w:hAnsi="Times New Roman" w:cs="Times New Roman"/>
        </w:rPr>
        <w:footnoteRef/>
      </w:r>
      <w:r w:rsidRPr="00CF444A">
        <w:rPr>
          <w:rFonts w:ascii="Times New Roman" w:hAnsi="Times New Roman" w:cs="Times New Roman"/>
        </w:rPr>
        <w:t xml:space="preserve"> The CA noted that this mismanagement was caused by: Jane’s failure to make the Estate bankrupt at the earliest opportunity</w:t>
      </w:r>
      <w:r w:rsidR="000A51D0">
        <w:rPr>
          <w:rFonts w:ascii="Times New Roman" w:hAnsi="Times New Roman" w:cs="Times New Roman"/>
        </w:rPr>
        <w:t>; the</w:t>
      </w:r>
      <w:r w:rsidR="000A51D0" w:rsidRPr="00CF444A">
        <w:rPr>
          <w:rFonts w:ascii="Times New Roman" w:hAnsi="Times New Roman" w:cs="Times New Roman"/>
        </w:rPr>
        <w:t xml:space="preserve"> </w:t>
      </w:r>
      <w:r w:rsidRPr="00CF444A">
        <w:rPr>
          <w:rFonts w:ascii="Times New Roman" w:hAnsi="Times New Roman" w:cs="Times New Roman"/>
        </w:rPr>
        <w:t>failure to seek a declaration or alternatively, leave to use the EJD documents prior to commencing Suit 47; and the “questionable” decision to make the Estate bankrupt on the eve of the appeal after taking the EJD route and commencing a separate action against OSP, though the actions shared the same aim of enforcing her judgment debt.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F1F8C" w14:textId="5D3EA8DC" w:rsidR="00537487" w:rsidRDefault="00537487">
    <w:pPr>
      <w:pStyle w:val="Header"/>
    </w:pPr>
    <w:r>
      <w:rPr>
        <w:noProof/>
      </w:rPr>
      <mc:AlternateContent>
        <mc:Choice Requires="wps">
          <w:drawing>
            <wp:anchor distT="0" distB="0" distL="0" distR="0" simplePos="0" relativeHeight="251659264" behindDoc="0" locked="0" layoutInCell="1" allowOverlap="1" wp14:anchorId="47E0DEDB" wp14:editId="6E3E07F9">
              <wp:simplePos x="635" y="635"/>
              <wp:positionH relativeFrom="column">
                <wp:align>center</wp:align>
              </wp:positionH>
              <wp:positionV relativeFrom="paragraph">
                <wp:posOffset>635</wp:posOffset>
              </wp:positionV>
              <wp:extent cx="443865" cy="443865"/>
              <wp:effectExtent l="0" t="0" r="1270" b="5715"/>
              <wp:wrapSquare wrapText="bothSides"/>
              <wp:docPr id="2" name="Text Box 2" descr="SMU 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B02232" w14:textId="6B1CC0FD" w:rsidR="00537487" w:rsidRPr="00537487" w:rsidRDefault="00537487">
                          <w:pPr>
                            <w:rPr>
                              <w:rFonts w:ascii="Calibri" w:eastAsia="Calibri" w:hAnsi="Calibri" w:cs="Calibri"/>
                              <w:noProof/>
                              <w:color w:val="000000"/>
                              <w:sz w:val="16"/>
                              <w:szCs w:val="16"/>
                            </w:rPr>
                          </w:pPr>
                          <w:r w:rsidRPr="00537487">
                            <w:rPr>
                              <w:rFonts w:ascii="Calibri" w:eastAsia="Calibri" w:hAnsi="Calibri" w:cs="Calibri"/>
                              <w:noProof/>
                              <w:color w:val="000000"/>
                              <w:sz w:val="16"/>
                              <w:szCs w:val="16"/>
                            </w:rPr>
                            <w:t>SMU 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7E0DEDB" id="_x0000_t202" coordsize="21600,21600" o:spt="202" path="m,l,21600r21600,l21600,xe">
              <v:stroke joinstyle="miter"/>
              <v:path gradientshapeok="t" o:connecttype="rect"/>
            </v:shapetype>
            <v:shape id="Text Box 2" o:spid="_x0000_s1026" type="#_x0000_t202" alt="SMU Classification: 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" filled="f" stroked="f">
              <v:textbox style="mso-fit-shape-to-text:t" inset="0,0,0,0">
                <w:txbxContent>
                  <w:p w14:paraId="67B02232" w14:textId="6B1CC0FD" w:rsidR="00537487" w:rsidRPr="00537487" w:rsidRDefault="00537487">
                    <w:pPr>
                      <w:rPr>
                        <w:rFonts w:ascii="Calibri" w:eastAsia="Calibri" w:hAnsi="Calibri" w:cs="Calibri"/>
                        <w:noProof/>
                        <w:color w:val="000000"/>
                        <w:sz w:val="16"/>
                        <w:szCs w:val="16"/>
                      </w:rPr>
                    </w:pPr>
                    <w:r w:rsidRPr="00537487">
                      <w:rPr>
                        <w:rFonts w:ascii="Calibri" w:eastAsia="Calibri" w:hAnsi="Calibri" w:cs="Calibri"/>
                        <w:noProof/>
                        <w:color w:val="000000"/>
                        <w:sz w:val="16"/>
                        <w:szCs w:val="16"/>
                      </w:rPr>
                      <w:t>SMU 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45498" w14:textId="031B22F6" w:rsidR="00537487" w:rsidRDefault="00537487">
    <w:pPr>
      <w:pStyle w:val="Header"/>
    </w:pPr>
    <w:r>
      <w:rPr>
        <w:noProof/>
      </w:rPr>
      <mc:AlternateContent>
        <mc:Choice Requires="wps">
          <w:drawing>
            <wp:anchor distT="0" distB="0" distL="0" distR="0" simplePos="0" relativeHeight="251660288" behindDoc="0" locked="0" layoutInCell="1" allowOverlap="1" wp14:anchorId="4318ED04" wp14:editId="730DD10F">
              <wp:simplePos x="0" y="0"/>
              <wp:positionH relativeFrom="column">
                <wp:align>center</wp:align>
              </wp:positionH>
              <wp:positionV relativeFrom="paragraph">
                <wp:posOffset>3347</wp:posOffset>
              </wp:positionV>
              <wp:extent cx="443865" cy="443865"/>
              <wp:effectExtent l="0" t="0" r="1270" b="5715"/>
              <wp:wrapSquare wrapText="bothSides"/>
              <wp:docPr id="3" name="Text Box 3" descr="SMU 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421FFF" w14:textId="73D2532C" w:rsidR="00537487" w:rsidRPr="00537487" w:rsidRDefault="00537487">
                          <w:pPr>
                            <w:rPr>
                              <w:rFonts w:ascii="Calibri" w:eastAsia="Calibri" w:hAnsi="Calibri" w:cs="Calibri"/>
                              <w:noProof/>
                              <w:color w:val="000000"/>
                              <w:sz w:val="16"/>
                              <w:szCs w:val="16"/>
                            </w:rPr>
                          </w:pPr>
                          <w:r w:rsidRPr="00537487">
                            <w:rPr>
                              <w:rFonts w:ascii="Calibri" w:eastAsia="Calibri" w:hAnsi="Calibri" w:cs="Calibri"/>
                              <w:noProof/>
                              <w:color w:val="000000"/>
                              <w:sz w:val="16"/>
                              <w:szCs w:val="16"/>
                            </w:rPr>
                            <w:t>SMU 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318ED04" id="_x0000_t202" coordsize="21600,21600" o:spt="202" path="m,l,21600r21600,l21600,xe">
              <v:stroke joinstyle="miter"/>
              <v:path gradientshapeok="t" o:connecttype="rect"/>
            </v:shapetype>
            <v:shape id="Text Box 3" o:spid="_x0000_s1027" type="#_x0000_t202" alt="SMU Classification: Restricted" style="position:absolute;margin-left:0;margin-top:.2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" filled="f" stroked="f">
              <v:textbox style="mso-fit-shape-to-text:t" inset="0,0,0,0">
                <w:txbxContent>
                  <w:p w14:paraId="30421FFF" w14:textId="73D2532C" w:rsidR="00537487" w:rsidRPr="00537487" w:rsidRDefault="00537487">
                    <w:pPr>
                      <w:rPr>
                        <w:rFonts w:ascii="Calibri" w:eastAsia="Calibri" w:hAnsi="Calibri" w:cs="Calibri"/>
                        <w:noProof/>
                        <w:color w:val="000000"/>
                        <w:sz w:val="16"/>
                        <w:szCs w:val="16"/>
                      </w:rPr>
                    </w:pPr>
                    <w:r w:rsidRPr="00537487">
                      <w:rPr>
                        <w:rFonts w:ascii="Calibri" w:eastAsia="Calibri" w:hAnsi="Calibri" w:cs="Calibri"/>
                        <w:noProof/>
                        <w:color w:val="000000"/>
                        <w:sz w:val="16"/>
                        <w:szCs w:val="16"/>
                      </w:rPr>
                      <w:t>SMU 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87FC" w14:textId="6B0296FD" w:rsidR="00537487" w:rsidRDefault="00537487">
    <w:pPr>
      <w:pStyle w:val="Header"/>
    </w:pPr>
    <w:r>
      <w:rPr>
        <w:noProof/>
      </w:rPr>
      <mc:AlternateContent>
        <mc:Choice Requires="wps">
          <w:drawing>
            <wp:anchor distT="0" distB="0" distL="0" distR="0" simplePos="0" relativeHeight="251658240" behindDoc="0" locked="0" layoutInCell="1" allowOverlap="1" wp14:anchorId="5D6754DB" wp14:editId="4D43C41A">
              <wp:simplePos x="635" y="635"/>
              <wp:positionH relativeFrom="column">
                <wp:align>center</wp:align>
              </wp:positionH>
              <wp:positionV relativeFrom="paragraph">
                <wp:posOffset>635</wp:posOffset>
              </wp:positionV>
              <wp:extent cx="443865" cy="443865"/>
              <wp:effectExtent l="0" t="0" r="1270" b="5715"/>
              <wp:wrapSquare wrapText="bothSides"/>
              <wp:docPr id="1" name="Text Box 1" descr="SMU 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603BD7" w14:textId="25E463F3" w:rsidR="00537487" w:rsidRPr="00537487" w:rsidRDefault="00537487">
                          <w:pPr>
                            <w:rPr>
                              <w:rFonts w:ascii="Calibri" w:eastAsia="Calibri" w:hAnsi="Calibri" w:cs="Calibri"/>
                              <w:noProof/>
                              <w:color w:val="000000"/>
                              <w:sz w:val="16"/>
                              <w:szCs w:val="16"/>
                            </w:rPr>
                          </w:pPr>
                          <w:r w:rsidRPr="00537487">
                            <w:rPr>
                              <w:rFonts w:ascii="Calibri" w:eastAsia="Calibri" w:hAnsi="Calibri" w:cs="Calibri"/>
                              <w:noProof/>
                              <w:color w:val="000000"/>
                              <w:sz w:val="16"/>
                              <w:szCs w:val="16"/>
                            </w:rPr>
                            <w:t>SMU 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D6754DB" id="_x0000_t202" coordsize="21600,21600" o:spt="202" path="m,l,21600r21600,l21600,xe">
              <v:stroke joinstyle="miter"/>
              <v:path gradientshapeok="t" o:connecttype="rect"/>
            </v:shapetype>
            <v:shape id="Text Box 1" o:spid="_x0000_s1028" type="#_x0000_t202" alt="SMU Classification: 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" filled="f" stroked="f">
              <v:textbox style="mso-fit-shape-to-text:t" inset="0,0,0,0">
                <w:txbxContent>
                  <w:p w14:paraId="2B603BD7" w14:textId="25E463F3" w:rsidR="00537487" w:rsidRPr="00537487" w:rsidRDefault="00537487">
                    <w:pPr>
                      <w:rPr>
                        <w:rFonts w:ascii="Calibri" w:eastAsia="Calibri" w:hAnsi="Calibri" w:cs="Calibri"/>
                        <w:noProof/>
                        <w:color w:val="000000"/>
                        <w:sz w:val="16"/>
                        <w:szCs w:val="16"/>
                      </w:rPr>
                    </w:pPr>
                    <w:r w:rsidRPr="00537487">
                      <w:rPr>
                        <w:rFonts w:ascii="Calibri" w:eastAsia="Calibri" w:hAnsi="Calibri" w:cs="Calibri"/>
                        <w:noProof/>
                        <w:color w:val="000000"/>
                        <w:sz w:val="16"/>
                        <w:szCs w:val="16"/>
                      </w:rPr>
                      <w:t>SMU 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8006A"/>
    <w:multiLevelType w:val="hybridMultilevel"/>
    <w:tmpl w:val="008A12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ED4580D"/>
    <w:multiLevelType w:val="multilevel"/>
    <w:tmpl w:val="A190A90E"/>
    <w:styleLink w:val="SAL"/>
    <w:lvl w:ilvl="0">
      <w:start w:val="1"/>
      <w:numFmt w:val="upperRoman"/>
      <w:lvlText w:val="%1."/>
      <w:lvlJc w:val="left"/>
      <w:pPr>
        <w:ind w:left="720" w:hanging="720"/>
      </w:pPr>
      <w:rPr>
        <w:rFonts w:hint="default"/>
        <w:b/>
      </w:rPr>
    </w:lvl>
    <w:lvl w:ilvl="1">
      <w:start w:val="1"/>
      <w:numFmt w:val="decimal"/>
      <w:lvlText w:val="%2"/>
      <w:lvlJc w:val="left"/>
      <w:pPr>
        <w:ind w:left="72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0BC0638"/>
    <w:multiLevelType w:val="hybridMultilevel"/>
    <w:tmpl w:val="A29245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AB2A7D"/>
    <w:multiLevelType w:val="hybridMultilevel"/>
    <w:tmpl w:val="008A123A"/>
    <w:lvl w:ilvl="0" w:tplc="D2A20D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124FFD"/>
    <w:multiLevelType w:val="hybridMultilevel"/>
    <w:tmpl w:val="3DF090D8"/>
    <w:lvl w:ilvl="0" w:tplc="D956464C">
      <w:start w:val="1"/>
      <w:numFmt w:val="lowerLetter"/>
      <w:lvlText w:val="(%1)"/>
      <w:lvlJc w:val="left"/>
      <w:pPr>
        <w:ind w:left="360" w:hanging="360"/>
      </w:pPr>
      <w:rPr>
        <w:rFonts w:ascii="Times New Roman" w:eastAsiaTheme="minorHAnsi" w:hAnsi="Times New Roman" w:cstheme="minorBidi" w:hint="default"/>
        <w:b w:val="0"/>
        <w:bCs w:val="0"/>
        <w:i w:val="0"/>
        <w:spacing w:val="-3"/>
        <w:w w:val="100"/>
        <w:sz w:val="24"/>
        <w:szCs w:val="24"/>
        <w:lang w:val="en-US" w:eastAsia="en-US" w:bidi="en-U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9C23685"/>
    <w:multiLevelType w:val="multilevel"/>
    <w:tmpl w:val="70A4A758"/>
    <w:lvl w:ilvl="0">
      <w:start w:val="1"/>
      <w:numFmt w:val="decimal"/>
      <w:pStyle w:val="NoSpacing"/>
      <w:lvlText w:val="%1"/>
      <w:lvlJc w:val="left"/>
      <w:pPr>
        <w:ind w:left="720" w:hanging="720"/>
      </w:pPr>
      <w:rPr>
        <w:rFonts w:ascii="Times New Roman" w:hAnsi="Times New Roman" w:hint="default"/>
        <w:b w:val="0"/>
        <w:i w:val="0"/>
        <w:sz w:val="24"/>
      </w:rPr>
    </w:lvl>
    <w:lvl w:ilvl="1">
      <w:start w:val="1"/>
      <w:numFmt w:val="lowerLetter"/>
      <w:lvlText w:val="(%2)"/>
      <w:lvlJc w:val="left"/>
      <w:pPr>
        <w:ind w:left="1080" w:hanging="360"/>
      </w:pPr>
      <w:rPr>
        <w:rFonts w:ascii="Times New Roman" w:eastAsiaTheme="minorHAnsi" w:hAnsi="Times New Roman" w:cstheme="minorBidi" w:hint="default"/>
        <w:b w:val="0"/>
        <w:bCs w:val="0"/>
        <w:i w:val="0"/>
        <w:spacing w:val="-3"/>
        <w:w w:val="100"/>
        <w:sz w:val="24"/>
        <w:szCs w:val="24"/>
        <w:lang w:val="en-US" w:eastAsia="en-US" w:bidi="en-US"/>
      </w:rPr>
    </w:lvl>
    <w:lvl w:ilvl="2">
      <w:start w:val="1"/>
      <w:numFmt w:val="lowerRoman"/>
      <w:lvlText w:val="(%3)"/>
      <w:lvlJc w:val="left"/>
      <w:pPr>
        <w:ind w:left="2160" w:hanging="720"/>
      </w:pPr>
      <w:rPr>
        <w:rFonts w:hint="default"/>
      </w:rPr>
    </w:lvl>
    <w:lvl w:ilvl="3">
      <w:start w:val="1"/>
      <w:numFmt w:val="upperLetter"/>
      <w:lvlText w:val="(%4)"/>
      <w:lvlJc w:val="left"/>
      <w:pPr>
        <w:ind w:left="2880" w:hanging="720"/>
      </w:pPr>
      <w:rPr>
        <w:rFonts w:hint="default"/>
      </w:rPr>
    </w:lvl>
    <w:lvl w:ilvl="4">
      <w:start w:val="1"/>
      <w:numFmt w:val="upperRoman"/>
      <w:lvlText w:val="(%5)"/>
      <w:lvlJc w:val="left"/>
      <w:pPr>
        <w:ind w:left="3600" w:hanging="663"/>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5582C01"/>
    <w:multiLevelType w:val="multilevel"/>
    <w:tmpl w:val="A190A90E"/>
    <w:numStyleLink w:val="SAL"/>
  </w:abstractNum>
  <w:abstractNum w:abstractNumId="7" w15:restartNumberingAfterBreak="0">
    <w:nsid w:val="37C65CDA"/>
    <w:multiLevelType w:val="multilevel"/>
    <w:tmpl w:val="BC26B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3534CA"/>
    <w:multiLevelType w:val="hybridMultilevel"/>
    <w:tmpl w:val="596E222E"/>
    <w:lvl w:ilvl="0" w:tplc="C21E9DC6">
      <w:start w:val="1"/>
      <w:numFmt w:val="upperLetter"/>
      <w:pStyle w:val="Heading2"/>
      <w:lvlText w:val="%1."/>
      <w:lvlJc w:val="left"/>
      <w:pPr>
        <w:ind w:left="720" w:hanging="720"/>
      </w:pPr>
      <w:rPr>
        <w:rFonts w:ascii="Times New Roman" w:hAnsi="Times New Roman" w:cs="Times New Roman" w:hint="default"/>
        <w:b/>
        <w:i/>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61C16534"/>
    <w:multiLevelType w:val="hybridMultilevel"/>
    <w:tmpl w:val="F98063EC"/>
    <w:lvl w:ilvl="0" w:tplc="AC06DDF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B7B0AD7"/>
    <w:multiLevelType w:val="hybridMultilevel"/>
    <w:tmpl w:val="33C43AE6"/>
    <w:lvl w:ilvl="0" w:tplc="0742E88A">
      <w:start w:val="1"/>
      <w:numFmt w:val="decimal"/>
      <w:pStyle w:val="Heading3"/>
      <w:lvlText w:val="(%1)"/>
      <w:lvlJc w:val="left"/>
      <w:pPr>
        <w:ind w:left="720" w:hanging="720"/>
      </w:pPr>
      <w:rPr>
        <w:rFonts w:ascii="Times New Roman" w:hAnsi="Times New Roman" w:hint="default"/>
        <w:b w:val="0"/>
        <w:i/>
        <w:sz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6CD44C72"/>
    <w:multiLevelType w:val="multilevel"/>
    <w:tmpl w:val="0E121D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AC651C"/>
    <w:multiLevelType w:val="multilevel"/>
    <w:tmpl w:val="4970D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66688349">
    <w:abstractNumId w:val="1"/>
  </w:num>
  <w:num w:numId="2" w16cid:durableId="1918395873">
    <w:abstractNumId w:val="5"/>
  </w:num>
  <w:num w:numId="3" w16cid:durableId="912815309">
    <w:abstractNumId w:val="8"/>
  </w:num>
  <w:num w:numId="4" w16cid:durableId="1905948382">
    <w:abstractNumId w:val="10"/>
  </w:num>
  <w:num w:numId="5" w16cid:durableId="970476720">
    <w:abstractNumId w:val="6"/>
  </w:num>
  <w:num w:numId="6" w16cid:durableId="1537161738">
    <w:abstractNumId w:val="4"/>
  </w:num>
  <w:num w:numId="7" w16cid:durableId="682051875">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4489791">
    <w:abstractNumId w:val="9"/>
  </w:num>
  <w:num w:numId="9" w16cid:durableId="1905874094">
    <w:abstractNumId w:val="11"/>
  </w:num>
  <w:num w:numId="10" w16cid:durableId="133177427">
    <w:abstractNumId w:val="5"/>
    <w:lvlOverride w:ilvl="0">
      <w:startOverride w:val="1"/>
    </w:lvlOverride>
    <w:lvlOverride w:ilvl="1">
      <w:startOverride w:val="2"/>
    </w:lvlOverride>
  </w:num>
  <w:num w:numId="11" w16cid:durableId="962732324">
    <w:abstractNumId w:val="5"/>
    <w:lvlOverride w:ilvl="0">
      <w:startOverride w:val="1"/>
    </w:lvlOverride>
    <w:lvlOverride w:ilvl="1">
      <w:startOverride w:val="2"/>
    </w:lvlOverride>
  </w:num>
  <w:num w:numId="12" w16cid:durableId="94639777">
    <w:abstractNumId w:val="7"/>
  </w:num>
  <w:num w:numId="13" w16cid:durableId="1386486637">
    <w:abstractNumId w:val="5"/>
    <w:lvlOverride w:ilvl="0">
      <w:startOverride w:val="1"/>
    </w:lvlOverride>
    <w:lvlOverride w:ilvl="1">
      <w:startOverride w:val="2"/>
    </w:lvlOverride>
  </w:num>
  <w:num w:numId="14" w16cid:durableId="584456782">
    <w:abstractNumId w:val="5"/>
    <w:lvlOverride w:ilvl="0">
      <w:startOverride w:val="1"/>
    </w:lvlOverride>
    <w:lvlOverride w:ilvl="1">
      <w:startOverride w:val="3"/>
    </w:lvlOverride>
  </w:num>
  <w:num w:numId="15" w16cid:durableId="1754545862">
    <w:abstractNumId w:val="12"/>
  </w:num>
  <w:num w:numId="16" w16cid:durableId="517086983">
    <w:abstractNumId w:val="5"/>
  </w:num>
  <w:num w:numId="17" w16cid:durableId="291524257">
    <w:abstractNumId w:val="2"/>
  </w:num>
  <w:num w:numId="18" w16cid:durableId="1896699465">
    <w:abstractNumId w:val="3"/>
  </w:num>
  <w:num w:numId="19" w16cid:durableId="710879921">
    <w:abstractNumId w:val="0"/>
  </w:num>
  <w:num w:numId="20" w16cid:durableId="1327052311">
    <w:abstractNumId w:val="5"/>
  </w:num>
  <w:num w:numId="21" w16cid:durableId="1219827969">
    <w:abstractNumId w:val="5"/>
  </w:num>
  <w:num w:numId="22" w16cid:durableId="757755852">
    <w:abstractNumId w:val="5"/>
  </w:num>
  <w:num w:numId="23" w16cid:durableId="1498500371">
    <w:abstractNumId w:val="5"/>
  </w:num>
  <w:num w:numId="24" w16cid:durableId="2073577638">
    <w:abstractNumId w:val="5"/>
  </w:num>
  <w:num w:numId="25" w16cid:durableId="2143964723">
    <w:abstractNumId w:val="5"/>
  </w:num>
  <w:num w:numId="26" w16cid:durableId="764156759">
    <w:abstractNumId w:val="5"/>
  </w:num>
  <w:num w:numId="27" w16cid:durableId="1044716520">
    <w:abstractNumId w:val="5"/>
  </w:num>
  <w:num w:numId="28" w16cid:durableId="352725954">
    <w:abstractNumId w:val="5"/>
  </w:num>
  <w:num w:numId="29" w16cid:durableId="517431122">
    <w:abstractNumId w:val="5"/>
  </w:num>
  <w:num w:numId="30" w16cid:durableId="188573534">
    <w:abstractNumId w:val="5"/>
  </w:num>
  <w:num w:numId="31" w16cid:durableId="1630626929">
    <w:abstractNumId w:val="5"/>
  </w:num>
  <w:num w:numId="32" w16cid:durableId="1041828202">
    <w:abstractNumId w:val="5"/>
  </w:num>
  <w:num w:numId="33" w16cid:durableId="412552035">
    <w:abstractNumId w:val="5"/>
  </w:num>
  <w:num w:numId="34" w16cid:durableId="1508597428">
    <w:abstractNumId w:val="5"/>
  </w:num>
  <w:num w:numId="35" w16cid:durableId="2075933237">
    <w:abstractNumId w:val="5"/>
  </w:num>
  <w:num w:numId="36" w16cid:durableId="2058315574">
    <w:abstractNumId w:val="5"/>
  </w:num>
  <w:num w:numId="37" w16cid:durableId="836727368">
    <w:abstractNumId w:val="5"/>
  </w:num>
  <w:num w:numId="38" w16cid:durableId="1227375304">
    <w:abstractNumId w:val="5"/>
  </w:num>
  <w:num w:numId="39" w16cid:durableId="97222471">
    <w:abstractNumId w:val="5"/>
  </w:num>
  <w:num w:numId="40" w16cid:durableId="1111780305">
    <w:abstractNumId w:val="5"/>
  </w:num>
  <w:num w:numId="41" w16cid:durableId="1589850426">
    <w:abstractNumId w:val="5"/>
  </w:num>
  <w:num w:numId="42" w16cid:durableId="748308445">
    <w:abstractNumId w:val="5"/>
  </w:num>
  <w:num w:numId="43" w16cid:durableId="476924048">
    <w:abstractNumId w:val="5"/>
  </w:num>
  <w:num w:numId="44" w16cid:durableId="429352267">
    <w:abstractNumId w:val="5"/>
  </w:num>
  <w:num w:numId="45" w16cid:durableId="1390880872">
    <w:abstractNumId w:val="5"/>
  </w:num>
  <w:num w:numId="46" w16cid:durableId="234633335">
    <w:abstractNumId w:val="5"/>
  </w:num>
  <w:num w:numId="47" w16cid:durableId="603656686">
    <w:abstractNumId w:val="5"/>
  </w:num>
  <w:num w:numId="48" w16cid:durableId="2080128052">
    <w:abstractNumId w:val="5"/>
  </w:num>
  <w:num w:numId="49" w16cid:durableId="134298419">
    <w:abstractNumId w:val="5"/>
  </w:num>
  <w:num w:numId="50" w16cid:durableId="2106925099">
    <w:abstractNumId w:val="5"/>
  </w:num>
  <w:num w:numId="51" w16cid:durableId="914821507">
    <w:abstractNumId w:val="5"/>
  </w:num>
  <w:num w:numId="52" w16cid:durableId="211042825">
    <w:abstractNumId w:val="5"/>
  </w:num>
  <w:num w:numId="53" w16cid:durableId="1161627511">
    <w:abstractNumId w:val="5"/>
  </w:num>
  <w:num w:numId="54" w16cid:durableId="1285455234">
    <w:abstractNumId w:val="5"/>
  </w:num>
  <w:num w:numId="55" w16cid:durableId="906525866">
    <w:abstractNumId w:val="5"/>
  </w:num>
  <w:num w:numId="56" w16cid:durableId="991183036">
    <w:abstractNumId w:val="5"/>
  </w:num>
  <w:num w:numId="57" w16cid:durableId="1506095421">
    <w:abstractNumId w:val="5"/>
  </w:num>
  <w:num w:numId="58" w16cid:durableId="2090996972">
    <w:abstractNumId w:val="5"/>
  </w:num>
  <w:num w:numId="59" w16cid:durableId="841629124">
    <w:abstractNumId w:val="5"/>
  </w:num>
  <w:num w:numId="60" w16cid:durableId="939801226">
    <w:abstractNumId w:val="5"/>
  </w:num>
  <w:num w:numId="61" w16cid:durableId="1659570908">
    <w:abstractNumId w:val="5"/>
  </w:num>
  <w:num w:numId="62" w16cid:durableId="2961067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336225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5381958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4989594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278220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4635416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0E2"/>
    <w:rsid w:val="000023E7"/>
    <w:rsid w:val="00005CC7"/>
    <w:rsid w:val="00015221"/>
    <w:rsid w:val="00031DC5"/>
    <w:rsid w:val="00034678"/>
    <w:rsid w:val="00042D40"/>
    <w:rsid w:val="00043F24"/>
    <w:rsid w:val="0004649F"/>
    <w:rsid w:val="000468BD"/>
    <w:rsid w:val="0005792B"/>
    <w:rsid w:val="00061877"/>
    <w:rsid w:val="0006438A"/>
    <w:rsid w:val="000652C3"/>
    <w:rsid w:val="000653A6"/>
    <w:rsid w:val="000722EA"/>
    <w:rsid w:val="000955DD"/>
    <w:rsid w:val="00096686"/>
    <w:rsid w:val="000A2E72"/>
    <w:rsid w:val="000A3907"/>
    <w:rsid w:val="000A463C"/>
    <w:rsid w:val="000A51D0"/>
    <w:rsid w:val="000A5626"/>
    <w:rsid w:val="000B0BD1"/>
    <w:rsid w:val="000B11CC"/>
    <w:rsid w:val="000B2389"/>
    <w:rsid w:val="000B3647"/>
    <w:rsid w:val="000B5378"/>
    <w:rsid w:val="000B6FFA"/>
    <w:rsid w:val="000B7E6C"/>
    <w:rsid w:val="000C20F0"/>
    <w:rsid w:val="000D5A16"/>
    <w:rsid w:val="000E518C"/>
    <w:rsid w:val="000E6948"/>
    <w:rsid w:val="000F2306"/>
    <w:rsid w:val="000F41D1"/>
    <w:rsid w:val="0010046F"/>
    <w:rsid w:val="0010347C"/>
    <w:rsid w:val="00103DAF"/>
    <w:rsid w:val="00107067"/>
    <w:rsid w:val="00107DC2"/>
    <w:rsid w:val="00110E72"/>
    <w:rsid w:val="001216DB"/>
    <w:rsid w:val="00123B4E"/>
    <w:rsid w:val="00135999"/>
    <w:rsid w:val="0014087B"/>
    <w:rsid w:val="00142B6F"/>
    <w:rsid w:val="00144D1E"/>
    <w:rsid w:val="00151BB2"/>
    <w:rsid w:val="00155E75"/>
    <w:rsid w:val="0016247E"/>
    <w:rsid w:val="00167464"/>
    <w:rsid w:val="00170637"/>
    <w:rsid w:val="00172C3C"/>
    <w:rsid w:val="00173AD7"/>
    <w:rsid w:val="00174B19"/>
    <w:rsid w:val="00186F55"/>
    <w:rsid w:val="001901CC"/>
    <w:rsid w:val="00191640"/>
    <w:rsid w:val="00196000"/>
    <w:rsid w:val="001965B1"/>
    <w:rsid w:val="001A728D"/>
    <w:rsid w:val="001C1059"/>
    <w:rsid w:val="001D30E3"/>
    <w:rsid w:val="001D31CA"/>
    <w:rsid w:val="001E4176"/>
    <w:rsid w:val="001E659A"/>
    <w:rsid w:val="001F3555"/>
    <w:rsid w:val="00203567"/>
    <w:rsid w:val="002059A5"/>
    <w:rsid w:val="00212392"/>
    <w:rsid w:val="00215077"/>
    <w:rsid w:val="00235704"/>
    <w:rsid w:val="002362F5"/>
    <w:rsid w:val="002363D1"/>
    <w:rsid w:val="002379B5"/>
    <w:rsid w:val="00240739"/>
    <w:rsid w:val="002533DF"/>
    <w:rsid w:val="00254A30"/>
    <w:rsid w:val="00255A84"/>
    <w:rsid w:val="00261053"/>
    <w:rsid w:val="0026122A"/>
    <w:rsid w:val="00263A40"/>
    <w:rsid w:val="00265284"/>
    <w:rsid w:val="00265649"/>
    <w:rsid w:val="00266C1A"/>
    <w:rsid w:val="0027137F"/>
    <w:rsid w:val="002737BE"/>
    <w:rsid w:val="00275252"/>
    <w:rsid w:val="00275F2D"/>
    <w:rsid w:val="0028345F"/>
    <w:rsid w:val="0028476C"/>
    <w:rsid w:val="0029007B"/>
    <w:rsid w:val="0029145A"/>
    <w:rsid w:val="00293F37"/>
    <w:rsid w:val="002954BB"/>
    <w:rsid w:val="002957D6"/>
    <w:rsid w:val="002A3737"/>
    <w:rsid w:val="002A55BE"/>
    <w:rsid w:val="002B3FAC"/>
    <w:rsid w:val="002B6412"/>
    <w:rsid w:val="002C2647"/>
    <w:rsid w:val="002C3A02"/>
    <w:rsid w:val="002C60BB"/>
    <w:rsid w:val="002D3503"/>
    <w:rsid w:val="002D397F"/>
    <w:rsid w:val="002D4CE9"/>
    <w:rsid w:val="002D5C12"/>
    <w:rsid w:val="002E0E06"/>
    <w:rsid w:val="002E1678"/>
    <w:rsid w:val="002E2BA8"/>
    <w:rsid w:val="002E7114"/>
    <w:rsid w:val="002E7B0F"/>
    <w:rsid w:val="002F163F"/>
    <w:rsid w:val="002F4025"/>
    <w:rsid w:val="00305B4F"/>
    <w:rsid w:val="00310C21"/>
    <w:rsid w:val="0032583A"/>
    <w:rsid w:val="003336B7"/>
    <w:rsid w:val="00335C2E"/>
    <w:rsid w:val="003400A0"/>
    <w:rsid w:val="00341048"/>
    <w:rsid w:val="00341DB7"/>
    <w:rsid w:val="003444F6"/>
    <w:rsid w:val="003451A5"/>
    <w:rsid w:val="00345FA1"/>
    <w:rsid w:val="003464F0"/>
    <w:rsid w:val="003535E3"/>
    <w:rsid w:val="00353CE7"/>
    <w:rsid w:val="00355A5C"/>
    <w:rsid w:val="003730B4"/>
    <w:rsid w:val="00373247"/>
    <w:rsid w:val="00374397"/>
    <w:rsid w:val="00380C7F"/>
    <w:rsid w:val="00381739"/>
    <w:rsid w:val="00390877"/>
    <w:rsid w:val="003A2044"/>
    <w:rsid w:val="003A6E3F"/>
    <w:rsid w:val="003C29EA"/>
    <w:rsid w:val="003C4810"/>
    <w:rsid w:val="003D168C"/>
    <w:rsid w:val="003D4C79"/>
    <w:rsid w:val="003D7BAF"/>
    <w:rsid w:val="003E04E0"/>
    <w:rsid w:val="003E2A29"/>
    <w:rsid w:val="003E329E"/>
    <w:rsid w:val="003E6977"/>
    <w:rsid w:val="004026EE"/>
    <w:rsid w:val="0040562D"/>
    <w:rsid w:val="00412059"/>
    <w:rsid w:val="00413ACB"/>
    <w:rsid w:val="00414D19"/>
    <w:rsid w:val="00425FB5"/>
    <w:rsid w:val="0042730E"/>
    <w:rsid w:val="00433429"/>
    <w:rsid w:val="00434872"/>
    <w:rsid w:val="00437211"/>
    <w:rsid w:val="00443F2D"/>
    <w:rsid w:val="004609CB"/>
    <w:rsid w:val="00463A03"/>
    <w:rsid w:val="004661B9"/>
    <w:rsid w:val="00485D6A"/>
    <w:rsid w:val="00490783"/>
    <w:rsid w:val="00492999"/>
    <w:rsid w:val="004961F6"/>
    <w:rsid w:val="00496F54"/>
    <w:rsid w:val="004A3FE9"/>
    <w:rsid w:val="004B2EF7"/>
    <w:rsid w:val="004C7D92"/>
    <w:rsid w:val="004D0508"/>
    <w:rsid w:val="004E50FA"/>
    <w:rsid w:val="004E58B2"/>
    <w:rsid w:val="004E6904"/>
    <w:rsid w:val="004F7436"/>
    <w:rsid w:val="004F7AB9"/>
    <w:rsid w:val="00501788"/>
    <w:rsid w:val="00502BAE"/>
    <w:rsid w:val="005074B7"/>
    <w:rsid w:val="0051278B"/>
    <w:rsid w:val="00515090"/>
    <w:rsid w:val="00524F4E"/>
    <w:rsid w:val="0052655A"/>
    <w:rsid w:val="005333ED"/>
    <w:rsid w:val="005356EC"/>
    <w:rsid w:val="00535A4D"/>
    <w:rsid w:val="00537487"/>
    <w:rsid w:val="005433C8"/>
    <w:rsid w:val="005443DA"/>
    <w:rsid w:val="00552177"/>
    <w:rsid w:val="005541D2"/>
    <w:rsid w:val="005564C3"/>
    <w:rsid w:val="0056690F"/>
    <w:rsid w:val="00571178"/>
    <w:rsid w:val="0058003F"/>
    <w:rsid w:val="00580349"/>
    <w:rsid w:val="005834A5"/>
    <w:rsid w:val="005851AF"/>
    <w:rsid w:val="005A1B6C"/>
    <w:rsid w:val="005A2849"/>
    <w:rsid w:val="005A3ED5"/>
    <w:rsid w:val="005A76B3"/>
    <w:rsid w:val="005B03BC"/>
    <w:rsid w:val="005C2F2C"/>
    <w:rsid w:val="005C3417"/>
    <w:rsid w:val="005C34F9"/>
    <w:rsid w:val="005E19DB"/>
    <w:rsid w:val="005E4E60"/>
    <w:rsid w:val="005F1BB8"/>
    <w:rsid w:val="00601AE7"/>
    <w:rsid w:val="00606931"/>
    <w:rsid w:val="00607F19"/>
    <w:rsid w:val="0063690A"/>
    <w:rsid w:val="006416A6"/>
    <w:rsid w:val="00642476"/>
    <w:rsid w:val="0064789C"/>
    <w:rsid w:val="00652067"/>
    <w:rsid w:val="0065247F"/>
    <w:rsid w:val="0066101C"/>
    <w:rsid w:val="0066110B"/>
    <w:rsid w:val="00662942"/>
    <w:rsid w:val="00665C0D"/>
    <w:rsid w:val="006768C9"/>
    <w:rsid w:val="006777B2"/>
    <w:rsid w:val="00693F0E"/>
    <w:rsid w:val="006966F6"/>
    <w:rsid w:val="00697BF0"/>
    <w:rsid w:val="006A07E0"/>
    <w:rsid w:val="006A2165"/>
    <w:rsid w:val="006A35DF"/>
    <w:rsid w:val="006A5893"/>
    <w:rsid w:val="006B229E"/>
    <w:rsid w:val="006B36F9"/>
    <w:rsid w:val="006B3C41"/>
    <w:rsid w:val="006C7BF8"/>
    <w:rsid w:val="006D091A"/>
    <w:rsid w:val="006D20B7"/>
    <w:rsid w:val="006D4E72"/>
    <w:rsid w:val="006E10F5"/>
    <w:rsid w:val="006E448A"/>
    <w:rsid w:val="006E53BB"/>
    <w:rsid w:val="006E64D0"/>
    <w:rsid w:val="006E74AF"/>
    <w:rsid w:val="006F038A"/>
    <w:rsid w:val="006F2E2E"/>
    <w:rsid w:val="0070760D"/>
    <w:rsid w:val="0071599E"/>
    <w:rsid w:val="00715E86"/>
    <w:rsid w:val="00715F13"/>
    <w:rsid w:val="00716BB1"/>
    <w:rsid w:val="00736AF8"/>
    <w:rsid w:val="0074133D"/>
    <w:rsid w:val="007526FC"/>
    <w:rsid w:val="00757B23"/>
    <w:rsid w:val="00765E14"/>
    <w:rsid w:val="007677DD"/>
    <w:rsid w:val="007720D5"/>
    <w:rsid w:val="007744E8"/>
    <w:rsid w:val="00780C3F"/>
    <w:rsid w:val="00783C66"/>
    <w:rsid w:val="00784546"/>
    <w:rsid w:val="00791496"/>
    <w:rsid w:val="00793115"/>
    <w:rsid w:val="00793E4E"/>
    <w:rsid w:val="0079476E"/>
    <w:rsid w:val="00795343"/>
    <w:rsid w:val="007977B5"/>
    <w:rsid w:val="007A3FFD"/>
    <w:rsid w:val="007A4FF6"/>
    <w:rsid w:val="007A54CE"/>
    <w:rsid w:val="007A6F7F"/>
    <w:rsid w:val="007A71BC"/>
    <w:rsid w:val="007A7E1E"/>
    <w:rsid w:val="007B16F9"/>
    <w:rsid w:val="007B21DD"/>
    <w:rsid w:val="007B6070"/>
    <w:rsid w:val="007B76CD"/>
    <w:rsid w:val="007C0C9A"/>
    <w:rsid w:val="007C5EA4"/>
    <w:rsid w:val="007D2034"/>
    <w:rsid w:val="007E1405"/>
    <w:rsid w:val="007E1C1A"/>
    <w:rsid w:val="007E462F"/>
    <w:rsid w:val="007E5D04"/>
    <w:rsid w:val="007F24B2"/>
    <w:rsid w:val="007F6A26"/>
    <w:rsid w:val="00807780"/>
    <w:rsid w:val="00810827"/>
    <w:rsid w:val="00810B9F"/>
    <w:rsid w:val="008127E9"/>
    <w:rsid w:val="008128EC"/>
    <w:rsid w:val="0081428B"/>
    <w:rsid w:val="00820591"/>
    <w:rsid w:val="0082333F"/>
    <w:rsid w:val="0082372D"/>
    <w:rsid w:val="008352AD"/>
    <w:rsid w:val="00835553"/>
    <w:rsid w:val="008363C9"/>
    <w:rsid w:val="00836C8C"/>
    <w:rsid w:val="00843500"/>
    <w:rsid w:val="00843DAE"/>
    <w:rsid w:val="0084541B"/>
    <w:rsid w:val="008510F2"/>
    <w:rsid w:val="00854371"/>
    <w:rsid w:val="008742EE"/>
    <w:rsid w:val="00874CFA"/>
    <w:rsid w:val="00877A89"/>
    <w:rsid w:val="00881CD0"/>
    <w:rsid w:val="0088351B"/>
    <w:rsid w:val="008870C8"/>
    <w:rsid w:val="008A09CF"/>
    <w:rsid w:val="008A0A44"/>
    <w:rsid w:val="008A0DAE"/>
    <w:rsid w:val="008A1C0E"/>
    <w:rsid w:val="008B0067"/>
    <w:rsid w:val="008B45B3"/>
    <w:rsid w:val="008B62D1"/>
    <w:rsid w:val="008B7AD6"/>
    <w:rsid w:val="008C00AA"/>
    <w:rsid w:val="008C0CD3"/>
    <w:rsid w:val="008C4995"/>
    <w:rsid w:val="008C7604"/>
    <w:rsid w:val="008C7CF7"/>
    <w:rsid w:val="008D3804"/>
    <w:rsid w:val="008D3992"/>
    <w:rsid w:val="008D4606"/>
    <w:rsid w:val="008D5AC1"/>
    <w:rsid w:val="008F1F44"/>
    <w:rsid w:val="008F3024"/>
    <w:rsid w:val="008F472A"/>
    <w:rsid w:val="008F5818"/>
    <w:rsid w:val="008F7712"/>
    <w:rsid w:val="00902ADA"/>
    <w:rsid w:val="00903F0A"/>
    <w:rsid w:val="00907C24"/>
    <w:rsid w:val="00914A5B"/>
    <w:rsid w:val="009160CA"/>
    <w:rsid w:val="009173B0"/>
    <w:rsid w:val="009206FB"/>
    <w:rsid w:val="00920CE3"/>
    <w:rsid w:val="00925332"/>
    <w:rsid w:val="00932113"/>
    <w:rsid w:val="00933915"/>
    <w:rsid w:val="00933919"/>
    <w:rsid w:val="00943338"/>
    <w:rsid w:val="00943F9B"/>
    <w:rsid w:val="00944B68"/>
    <w:rsid w:val="00945181"/>
    <w:rsid w:val="009512B5"/>
    <w:rsid w:val="0095157A"/>
    <w:rsid w:val="00952882"/>
    <w:rsid w:val="0095357F"/>
    <w:rsid w:val="00955902"/>
    <w:rsid w:val="0095654E"/>
    <w:rsid w:val="009673C8"/>
    <w:rsid w:val="00975CE6"/>
    <w:rsid w:val="00977353"/>
    <w:rsid w:val="009832CC"/>
    <w:rsid w:val="00983824"/>
    <w:rsid w:val="0099387B"/>
    <w:rsid w:val="009A0B53"/>
    <w:rsid w:val="009A3BEE"/>
    <w:rsid w:val="009B1EC6"/>
    <w:rsid w:val="009B2164"/>
    <w:rsid w:val="009B791B"/>
    <w:rsid w:val="009C14AC"/>
    <w:rsid w:val="009C1962"/>
    <w:rsid w:val="009C7292"/>
    <w:rsid w:val="009C792B"/>
    <w:rsid w:val="009D4EAA"/>
    <w:rsid w:val="009E0B44"/>
    <w:rsid w:val="009E25CC"/>
    <w:rsid w:val="009E390B"/>
    <w:rsid w:val="009F042F"/>
    <w:rsid w:val="009F2E12"/>
    <w:rsid w:val="009F6C4C"/>
    <w:rsid w:val="00A00783"/>
    <w:rsid w:val="00A35545"/>
    <w:rsid w:val="00A37E5A"/>
    <w:rsid w:val="00A456EC"/>
    <w:rsid w:val="00A46DA5"/>
    <w:rsid w:val="00A524A0"/>
    <w:rsid w:val="00A54C8B"/>
    <w:rsid w:val="00A610E2"/>
    <w:rsid w:val="00A6118E"/>
    <w:rsid w:val="00A61DC2"/>
    <w:rsid w:val="00A642DC"/>
    <w:rsid w:val="00A72082"/>
    <w:rsid w:val="00A73054"/>
    <w:rsid w:val="00A73423"/>
    <w:rsid w:val="00A73F4E"/>
    <w:rsid w:val="00A76001"/>
    <w:rsid w:val="00A80C2B"/>
    <w:rsid w:val="00A83B09"/>
    <w:rsid w:val="00A84274"/>
    <w:rsid w:val="00A84829"/>
    <w:rsid w:val="00A84F48"/>
    <w:rsid w:val="00AA71B1"/>
    <w:rsid w:val="00AB11A6"/>
    <w:rsid w:val="00AB27B4"/>
    <w:rsid w:val="00AC122E"/>
    <w:rsid w:val="00AC1811"/>
    <w:rsid w:val="00AC3E4B"/>
    <w:rsid w:val="00AC4297"/>
    <w:rsid w:val="00AC5980"/>
    <w:rsid w:val="00AD1B45"/>
    <w:rsid w:val="00AE0646"/>
    <w:rsid w:val="00AE1A39"/>
    <w:rsid w:val="00AF3F73"/>
    <w:rsid w:val="00AF4E32"/>
    <w:rsid w:val="00AF5FF8"/>
    <w:rsid w:val="00B06F52"/>
    <w:rsid w:val="00B07D56"/>
    <w:rsid w:val="00B07D8C"/>
    <w:rsid w:val="00B12D33"/>
    <w:rsid w:val="00B20CD7"/>
    <w:rsid w:val="00B23AAF"/>
    <w:rsid w:val="00B24D16"/>
    <w:rsid w:val="00B308C7"/>
    <w:rsid w:val="00B32906"/>
    <w:rsid w:val="00B34530"/>
    <w:rsid w:val="00B373E7"/>
    <w:rsid w:val="00B4055C"/>
    <w:rsid w:val="00B636AD"/>
    <w:rsid w:val="00B64E9A"/>
    <w:rsid w:val="00B666C9"/>
    <w:rsid w:val="00B7266A"/>
    <w:rsid w:val="00B742CD"/>
    <w:rsid w:val="00B745EE"/>
    <w:rsid w:val="00B827B7"/>
    <w:rsid w:val="00B84485"/>
    <w:rsid w:val="00B86613"/>
    <w:rsid w:val="00B87C36"/>
    <w:rsid w:val="00B901FD"/>
    <w:rsid w:val="00B95D95"/>
    <w:rsid w:val="00BA336B"/>
    <w:rsid w:val="00BA4907"/>
    <w:rsid w:val="00BB1042"/>
    <w:rsid w:val="00BC0DAD"/>
    <w:rsid w:val="00BC406B"/>
    <w:rsid w:val="00BE24E8"/>
    <w:rsid w:val="00BF32D1"/>
    <w:rsid w:val="00C036FE"/>
    <w:rsid w:val="00C11DF2"/>
    <w:rsid w:val="00C14A4A"/>
    <w:rsid w:val="00C17CEA"/>
    <w:rsid w:val="00C3011A"/>
    <w:rsid w:val="00C359DB"/>
    <w:rsid w:val="00C36C40"/>
    <w:rsid w:val="00C43CCD"/>
    <w:rsid w:val="00C47AD8"/>
    <w:rsid w:val="00C5094D"/>
    <w:rsid w:val="00C51084"/>
    <w:rsid w:val="00C52FF9"/>
    <w:rsid w:val="00C62F5C"/>
    <w:rsid w:val="00C673BF"/>
    <w:rsid w:val="00C7684E"/>
    <w:rsid w:val="00C80434"/>
    <w:rsid w:val="00C836A9"/>
    <w:rsid w:val="00C84B9E"/>
    <w:rsid w:val="00C859B7"/>
    <w:rsid w:val="00C8658C"/>
    <w:rsid w:val="00C865DB"/>
    <w:rsid w:val="00C927F6"/>
    <w:rsid w:val="00CA566B"/>
    <w:rsid w:val="00CB2AA1"/>
    <w:rsid w:val="00CC431A"/>
    <w:rsid w:val="00CC6320"/>
    <w:rsid w:val="00CC77DA"/>
    <w:rsid w:val="00CD6C79"/>
    <w:rsid w:val="00CD6CBC"/>
    <w:rsid w:val="00CD6EFA"/>
    <w:rsid w:val="00CD7678"/>
    <w:rsid w:val="00CE149E"/>
    <w:rsid w:val="00CE3613"/>
    <w:rsid w:val="00CE4DC8"/>
    <w:rsid w:val="00CF2880"/>
    <w:rsid w:val="00CF4056"/>
    <w:rsid w:val="00CF444A"/>
    <w:rsid w:val="00CF516E"/>
    <w:rsid w:val="00CF7A04"/>
    <w:rsid w:val="00D02D82"/>
    <w:rsid w:val="00D06B6B"/>
    <w:rsid w:val="00D1054F"/>
    <w:rsid w:val="00D134F2"/>
    <w:rsid w:val="00D1519F"/>
    <w:rsid w:val="00D207AD"/>
    <w:rsid w:val="00D2167F"/>
    <w:rsid w:val="00D2765C"/>
    <w:rsid w:val="00D31EC5"/>
    <w:rsid w:val="00D43A54"/>
    <w:rsid w:val="00D57F13"/>
    <w:rsid w:val="00D614AC"/>
    <w:rsid w:val="00D626B7"/>
    <w:rsid w:val="00D6446D"/>
    <w:rsid w:val="00D64535"/>
    <w:rsid w:val="00D64F33"/>
    <w:rsid w:val="00D66085"/>
    <w:rsid w:val="00D77128"/>
    <w:rsid w:val="00D77A82"/>
    <w:rsid w:val="00D85A3D"/>
    <w:rsid w:val="00D85F0F"/>
    <w:rsid w:val="00D869E3"/>
    <w:rsid w:val="00D86EE0"/>
    <w:rsid w:val="00D9011F"/>
    <w:rsid w:val="00D906B8"/>
    <w:rsid w:val="00D90EC4"/>
    <w:rsid w:val="00D9102B"/>
    <w:rsid w:val="00D91664"/>
    <w:rsid w:val="00D95062"/>
    <w:rsid w:val="00DA22E5"/>
    <w:rsid w:val="00DB7B02"/>
    <w:rsid w:val="00DC0543"/>
    <w:rsid w:val="00DC2FE5"/>
    <w:rsid w:val="00DC5AC9"/>
    <w:rsid w:val="00DC5CA6"/>
    <w:rsid w:val="00DD7D12"/>
    <w:rsid w:val="00DE0437"/>
    <w:rsid w:val="00DE1F69"/>
    <w:rsid w:val="00DF16C3"/>
    <w:rsid w:val="00DF3FC4"/>
    <w:rsid w:val="00DF4B5A"/>
    <w:rsid w:val="00DF53D3"/>
    <w:rsid w:val="00E01952"/>
    <w:rsid w:val="00E02288"/>
    <w:rsid w:val="00E06172"/>
    <w:rsid w:val="00E11B94"/>
    <w:rsid w:val="00E12D3F"/>
    <w:rsid w:val="00E14DD7"/>
    <w:rsid w:val="00E15060"/>
    <w:rsid w:val="00E15802"/>
    <w:rsid w:val="00E21FA7"/>
    <w:rsid w:val="00E22BEF"/>
    <w:rsid w:val="00E241D0"/>
    <w:rsid w:val="00E25995"/>
    <w:rsid w:val="00E259DE"/>
    <w:rsid w:val="00E25C39"/>
    <w:rsid w:val="00E304D9"/>
    <w:rsid w:val="00E3306D"/>
    <w:rsid w:val="00E37785"/>
    <w:rsid w:val="00E4182B"/>
    <w:rsid w:val="00E42A69"/>
    <w:rsid w:val="00E43442"/>
    <w:rsid w:val="00E44931"/>
    <w:rsid w:val="00E452C4"/>
    <w:rsid w:val="00E5230C"/>
    <w:rsid w:val="00E52440"/>
    <w:rsid w:val="00E55E6D"/>
    <w:rsid w:val="00E605B4"/>
    <w:rsid w:val="00E64141"/>
    <w:rsid w:val="00E72DDA"/>
    <w:rsid w:val="00E87441"/>
    <w:rsid w:val="00E919C3"/>
    <w:rsid w:val="00E93583"/>
    <w:rsid w:val="00E94652"/>
    <w:rsid w:val="00E97408"/>
    <w:rsid w:val="00EA28AF"/>
    <w:rsid w:val="00EA49F2"/>
    <w:rsid w:val="00EB24C4"/>
    <w:rsid w:val="00EC5595"/>
    <w:rsid w:val="00EC7339"/>
    <w:rsid w:val="00ED644A"/>
    <w:rsid w:val="00EE4249"/>
    <w:rsid w:val="00EE4657"/>
    <w:rsid w:val="00EE7ED1"/>
    <w:rsid w:val="00EF0CB8"/>
    <w:rsid w:val="00EF7B89"/>
    <w:rsid w:val="00F03BB2"/>
    <w:rsid w:val="00F1498E"/>
    <w:rsid w:val="00F14A9E"/>
    <w:rsid w:val="00F15020"/>
    <w:rsid w:val="00F23DB3"/>
    <w:rsid w:val="00F24576"/>
    <w:rsid w:val="00F31387"/>
    <w:rsid w:val="00F342A2"/>
    <w:rsid w:val="00F41057"/>
    <w:rsid w:val="00F4276B"/>
    <w:rsid w:val="00F42B15"/>
    <w:rsid w:val="00F452CC"/>
    <w:rsid w:val="00F46903"/>
    <w:rsid w:val="00F50D54"/>
    <w:rsid w:val="00F560B7"/>
    <w:rsid w:val="00F56C94"/>
    <w:rsid w:val="00F57520"/>
    <w:rsid w:val="00F5781A"/>
    <w:rsid w:val="00F60B6B"/>
    <w:rsid w:val="00F6299C"/>
    <w:rsid w:val="00F90E6D"/>
    <w:rsid w:val="00F95B2D"/>
    <w:rsid w:val="00FA1D5E"/>
    <w:rsid w:val="00FA1F27"/>
    <w:rsid w:val="00FA322A"/>
    <w:rsid w:val="00FA3273"/>
    <w:rsid w:val="00FC6369"/>
    <w:rsid w:val="00FD547C"/>
    <w:rsid w:val="00FD5979"/>
    <w:rsid w:val="00FF1A2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A7B12"/>
  <w15:chartTrackingRefBased/>
  <w15:docId w15:val="{44FB3873-166E-E14C-80A1-D96DB91D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F2D"/>
    <w:pPr>
      <w:spacing w:after="160" w:line="259" w:lineRule="auto"/>
    </w:pPr>
    <w:rPr>
      <w:sz w:val="22"/>
      <w:szCs w:val="22"/>
    </w:rPr>
  </w:style>
  <w:style w:type="paragraph" w:styleId="Heading1">
    <w:name w:val="heading 1"/>
    <w:basedOn w:val="Normal"/>
    <w:next w:val="Normal"/>
    <w:link w:val="Heading1Char"/>
    <w:uiPriority w:val="9"/>
    <w:qFormat/>
    <w:rsid w:val="008D38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ListParagraph"/>
    <w:next w:val="Normal"/>
    <w:link w:val="Heading2Char"/>
    <w:uiPriority w:val="9"/>
    <w:unhideWhenUsed/>
    <w:qFormat/>
    <w:rsid w:val="00A610E2"/>
    <w:pPr>
      <w:numPr>
        <w:numId w:val="3"/>
      </w:numPr>
      <w:outlineLvl w:val="1"/>
    </w:pPr>
    <w:rPr>
      <w:b/>
      <w:i/>
    </w:rPr>
  </w:style>
  <w:style w:type="paragraph" w:styleId="Heading3">
    <w:name w:val="heading 3"/>
    <w:basedOn w:val="ListParagraph"/>
    <w:next w:val="Normal"/>
    <w:link w:val="Heading3Char"/>
    <w:uiPriority w:val="9"/>
    <w:unhideWhenUsed/>
    <w:qFormat/>
    <w:rsid w:val="00A610E2"/>
    <w:pPr>
      <w:numPr>
        <w:numId w:val="4"/>
      </w:num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0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10E2"/>
    <w:rPr>
      <w:rFonts w:ascii="Times New Roman" w:hAnsi="Times New Roman" w:cs="Times New Roman"/>
      <w:sz w:val="18"/>
      <w:szCs w:val="18"/>
    </w:rPr>
  </w:style>
  <w:style w:type="character" w:customStyle="1" w:styleId="Heading2Char">
    <w:name w:val="Heading 2 Char"/>
    <w:basedOn w:val="DefaultParagraphFont"/>
    <w:link w:val="Heading2"/>
    <w:uiPriority w:val="9"/>
    <w:rsid w:val="00A610E2"/>
    <w:rPr>
      <w:b/>
      <w:i/>
      <w:sz w:val="22"/>
      <w:szCs w:val="22"/>
    </w:rPr>
  </w:style>
  <w:style w:type="character" w:customStyle="1" w:styleId="Heading3Char">
    <w:name w:val="Heading 3 Char"/>
    <w:basedOn w:val="DefaultParagraphFont"/>
    <w:link w:val="Heading3"/>
    <w:uiPriority w:val="9"/>
    <w:rsid w:val="00A610E2"/>
    <w:rPr>
      <w:i/>
      <w:sz w:val="22"/>
      <w:szCs w:val="22"/>
    </w:rPr>
  </w:style>
  <w:style w:type="numbering" w:customStyle="1" w:styleId="SAL">
    <w:name w:val="SAL"/>
    <w:uiPriority w:val="99"/>
    <w:rsid w:val="00A610E2"/>
    <w:pPr>
      <w:numPr>
        <w:numId w:val="1"/>
      </w:numPr>
    </w:pPr>
  </w:style>
  <w:style w:type="paragraph" w:styleId="FootnoteText">
    <w:name w:val="footnote text"/>
    <w:basedOn w:val="Normal"/>
    <w:link w:val="FootnoteTextChar"/>
    <w:uiPriority w:val="99"/>
    <w:unhideWhenUsed/>
    <w:qFormat/>
    <w:rsid w:val="00A610E2"/>
    <w:pPr>
      <w:spacing w:line="240" w:lineRule="auto"/>
    </w:pPr>
    <w:rPr>
      <w:sz w:val="20"/>
      <w:szCs w:val="20"/>
    </w:rPr>
  </w:style>
  <w:style w:type="character" w:customStyle="1" w:styleId="FootnoteTextChar">
    <w:name w:val="Footnote Text Char"/>
    <w:basedOn w:val="DefaultParagraphFont"/>
    <w:link w:val="FootnoteText"/>
    <w:uiPriority w:val="99"/>
    <w:rsid w:val="00A610E2"/>
    <w:rPr>
      <w:sz w:val="20"/>
      <w:szCs w:val="20"/>
    </w:rPr>
  </w:style>
  <w:style w:type="character" w:styleId="FootnoteReference">
    <w:name w:val="footnote reference"/>
    <w:basedOn w:val="DefaultParagraphFont"/>
    <w:uiPriority w:val="99"/>
    <w:semiHidden/>
    <w:unhideWhenUsed/>
    <w:rsid w:val="00A610E2"/>
    <w:rPr>
      <w:vertAlign w:val="superscript"/>
    </w:rPr>
  </w:style>
  <w:style w:type="character" w:styleId="CommentReference">
    <w:name w:val="annotation reference"/>
    <w:basedOn w:val="DefaultParagraphFont"/>
    <w:uiPriority w:val="99"/>
    <w:semiHidden/>
    <w:unhideWhenUsed/>
    <w:rsid w:val="00A610E2"/>
    <w:rPr>
      <w:sz w:val="16"/>
      <w:szCs w:val="16"/>
    </w:rPr>
  </w:style>
  <w:style w:type="paragraph" w:styleId="CommentText">
    <w:name w:val="annotation text"/>
    <w:basedOn w:val="Normal"/>
    <w:link w:val="CommentTextChar"/>
    <w:uiPriority w:val="99"/>
    <w:unhideWhenUsed/>
    <w:rsid w:val="00A610E2"/>
    <w:pPr>
      <w:spacing w:line="240" w:lineRule="auto"/>
    </w:pPr>
    <w:rPr>
      <w:sz w:val="20"/>
      <w:szCs w:val="20"/>
    </w:rPr>
  </w:style>
  <w:style w:type="character" w:customStyle="1" w:styleId="CommentTextChar">
    <w:name w:val="Comment Text Char"/>
    <w:basedOn w:val="DefaultParagraphFont"/>
    <w:link w:val="CommentText"/>
    <w:uiPriority w:val="99"/>
    <w:rsid w:val="00A610E2"/>
    <w:rPr>
      <w:sz w:val="20"/>
      <w:szCs w:val="20"/>
    </w:rPr>
  </w:style>
  <w:style w:type="paragraph" w:styleId="ListParagraph">
    <w:name w:val="List Paragraph"/>
    <w:basedOn w:val="Normal"/>
    <w:uiPriority w:val="34"/>
    <w:qFormat/>
    <w:rsid w:val="00A610E2"/>
    <w:pPr>
      <w:contextualSpacing/>
    </w:pPr>
  </w:style>
  <w:style w:type="paragraph" w:styleId="NoSpacing">
    <w:name w:val="No Spacing"/>
    <w:link w:val="NoSpacingChar"/>
    <w:uiPriority w:val="1"/>
    <w:qFormat/>
    <w:rsid w:val="00A610E2"/>
    <w:pPr>
      <w:numPr>
        <w:numId w:val="2"/>
      </w:numPr>
      <w:jc w:val="both"/>
    </w:pPr>
    <w:rPr>
      <w:rFonts w:ascii="Times New Roman" w:eastAsiaTheme="minorEastAsia" w:hAnsi="Times New Roman" w:cs="Times New Roman"/>
      <w:lang w:eastAsia="zh-CN"/>
    </w:rPr>
  </w:style>
  <w:style w:type="character" w:styleId="Strong">
    <w:name w:val="Strong"/>
    <w:basedOn w:val="DefaultParagraphFont"/>
    <w:uiPriority w:val="22"/>
    <w:qFormat/>
    <w:rsid w:val="008A1C0E"/>
    <w:rPr>
      <w:b/>
      <w:bCs/>
    </w:rPr>
  </w:style>
  <w:style w:type="character" w:customStyle="1" w:styleId="prov2txtil">
    <w:name w:val="prov2txtil"/>
    <w:basedOn w:val="DefaultParagraphFont"/>
    <w:rsid w:val="008A1C0E"/>
  </w:style>
  <w:style w:type="character" w:styleId="Emphasis">
    <w:name w:val="Emphasis"/>
    <w:basedOn w:val="DefaultParagraphFont"/>
    <w:uiPriority w:val="20"/>
    <w:qFormat/>
    <w:rsid w:val="008A1C0E"/>
    <w:rPr>
      <w:i/>
      <w:iCs/>
    </w:rPr>
  </w:style>
  <w:style w:type="paragraph" w:styleId="NormalWeb">
    <w:name w:val="Normal (Web)"/>
    <w:basedOn w:val="Normal"/>
    <w:uiPriority w:val="99"/>
    <w:semiHidden/>
    <w:unhideWhenUsed/>
    <w:rsid w:val="00C11D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SpacingChar">
    <w:name w:val="No Spacing Char"/>
    <w:basedOn w:val="DefaultParagraphFont"/>
    <w:link w:val="NoSpacing"/>
    <w:uiPriority w:val="1"/>
    <w:rsid w:val="001216DB"/>
    <w:rPr>
      <w:rFonts w:ascii="Times New Roman" w:eastAsiaTheme="minorEastAsia" w:hAnsi="Times New Roman" w:cs="Times New Roman"/>
      <w:lang w:eastAsia="zh-CN"/>
    </w:rPr>
  </w:style>
  <w:style w:type="paragraph" w:styleId="Header">
    <w:name w:val="header"/>
    <w:basedOn w:val="Normal"/>
    <w:link w:val="HeaderChar"/>
    <w:uiPriority w:val="99"/>
    <w:unhideWhenUsed/>
    <w:rsid w:val="00E21F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FA7"/>
    <w:rPr>
      <w:sz w:val="22"/>
      <w:szCs w:val="22"/>
    </w:rPr>
  </w:style>
  <w:style w:type="paragraph" w:styleId="Footer">
    <w:name w:val="footer"/>
    <w:basedOn w:val="Normal"/>
    <w:link w:val="FooterChar"/>
    <w:uiPriority w:val="99"/>
    <w:unhideWhenUsed/>
    <w:rsid w:val="00E21F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FA7"/>
    <w:rPr>
      <w:sz w:val="22"/>
      <w:szCs w:val="22"/>
    </w:rPr>
  </w:style>
  <w:style w:type="paragraph" w:styleId="CommentSubject">
    <w:name w:val="annotation subject"/>
    <w:basedOn w:val="CommentText"/>
    <w:next w:val="CommentText"/>
    <w:link w:val="CommentSubjectChar"/>
    <w:uiPriority w:val="99"/>
    <w:semiHidden/>
    <w:unhideWhenUsed/>
    <w:rsid w:val="00AB11A6"/>
    <w:rPr>
      <w:b/>
      <w:bCs/>
    </w:rPr>
  </w:style>
  <w:style w:type="character" w:customStyle="1" w:styleId="CommentSubjectChar">
    <w:name w:val="Comment Subject Char"/>
    <w:basedOn w:val="CommentTextChar"/>
    <w:link w:val="CommentSubject"/>
    <w:uiPriority w:val="99"/>
    <w:semiHidden/>
    <w:rsid w:val="00AB11A6"/>
    <w:rPr>
      <w:b/>
      <w:bCs/>
      <w:sz w:val="20"/>
      <w:szCs w:val="20"/>
    </w:rPr>
  </w:style>
  <w:style w:type="character" w:customStyle="1" w:styleId="Heading1Char">
    <w:name w:val="Heading 1 Char"/>
    <w:basedOn w:val="DefaultParagraphFont"/>
    <w:link w:val="Heading1"/>
    <w:uiPriority w:val="9"/>
    <w:rsid w:val="008D3804"/>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A83B09"/>
    <w:rPr>
      <w:sz w:val="22"/>
      <w:szCs w:val="22"/>
    </w:rPr>
  </w:style>
  <w:style w:type="character" w:styleId="Hyperlink">
    <w:name w:val="Hyperlink"/>
    <w:basedOn w:val="DefaultParagraphFont"/>
    <w:uiPriority w:val="99"/>
    <w:unhideWhenUsed/>
    <w:rsid w:val="00B07D56"/>
    <w:rPr>
      <w:color w:val="0563C1" w:themeColor="hyperlink"/>
      <w:u w:val="single"/>
    </w:rPr>
  </w:style>
  <w:style w:type="character" w:styleId="UnresolvedMention">
    <w:name w:val="Unresolved Mention"/>
    <w:basedOn w:val="DefaultParagraphFont"/>
    <w:uiPriority w:val="99"/>
    <w:semiHidden/>
    <w:unhideWhenUsed/>
    <w:rsid w:val="00B07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27420">
      <w:bodyDiv w:val="1"/>
      <w:marLeft w:val="0"/>
      <w:marRight w:val="0"/>
      <w:marTop w:val="0"/>
      <w:marBottom w:val="0"/>
      <w:divBdr>
        <w:top w:val="none" w:sz="0" w:space="0" w:color="auto"/>
        <w:left w:val="none" w:sz="0" w:space="0" w:color="auto"/>
        <w:bottom w:val="none" w:sz="0" w:space="0" w:color="auto"/>
        <w:right w:val="none" w:sz="0" w:space="0" w:color="auto"/>
      </w:divBdr>
      <w:divsChild>
        <w:div w:id="541096482">
          <w:marLeft w:val="0"/>
          <w:marRight w:val="0"/>
          <w:marTop w:val="0"/>
          <w:marBottom w:val="0"/>
          <w:divBdr>
            <w:top w:val="none" w:sz="0" w:space="0" w:color="auto"/>
            <w:left w:val="none" w:sz="0" w:space="0" w:color="auto"/>
            <w:bottom w:val="none" w:sz="0" w:space="0" w:color="auto"/>
            <w:right w:val="none" w:sz="0" w:space="0" w:color="auto"/>
          </w:divBdr>
          <w:divsChild>
            <w:div w:id="792098898">
              <w:marLeft w:val="0"/>
              <w:marRight w:val="0"/>
              <w:marTop w:val="0"/>
              <w:marBottom w:val="0"/>
              <w:divBdr>
                <w:top w:val="none" w:sz="0" w:space="0" w:color="auto"/>
                <w:left w:val="none" w:sz="0" w:space="0" w:color="auto"/>
                <w:bottom w:val="none" w:sz="0" w:space="0" w:color="auto"/>
                <w:right w:val="none" w:sz="0" w:space="0" w:color="auto"/>
              </w:divBdr>
              <w:divsChild>
                <w:div w:id="53300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34255">
      <w:bodyDiv w:val="1"/>
      <w:marLeft w:val="0"/>
      <w:marRight w:val="0"/>
      <w:marTop w:val="0"/>
      <w:marBottom w:val="0"/>
      <w:divBdr>
        <w:top w:val="none" w:sz="0" w:space="0" w:color="auto"/>
        <w:left w:val="none" w:sz="0" w:space="0" w:color="auto"/>
        <w:bottom w:val="none" w:sz="0" w:space="0" w:color="auto"/>
        <w:right w:val="none" w:sz="0" w:space="0" w:color="auto"/>
      </w:divBdr>
      <w:divsChild>
        <w:div w:id="341669953">
          <w:marLeft w:val="0"/>
          <w:marRight w:val="0"/>
          <w:marTop w:val="0"/>
          <w:marBottom w:val="0"/>
          <w:divBdr>
            <w:top w:val="none" w:sz="0" w:space="0" w:color="auto"/>
            <w:left w:val="none" w:sz="0" w:space="0" w:color="auto"/>
            <w:bottom w:val="none" w:sz="0" w:space="0" w:color="auto"/>
            <w:right w:val="none" w:sz="0" w:space="0" w:color="auto"/>
          </w:divBdr>
          <w:divsChild>
            <w:div w:id="879365461">
              <w:marLeft w:val="0"/>
              <w:marRight w:val="0"/>
              <w:marTop w:val="0"/>
              <w:marBottom w:val="0"/>
              <w:divBdr>
                <w:top w:val="none" w:sz="0" w:space="0" w:color="auto"/>
                <w:left w:val="none" w:sz="0" w:space="0" w:color="auto"/>
                <w:bottom w:val="none" w:sz="0" w:space="0" w:color="auto"/>
                <w:right w:val="none" w:sz="0" w:space="0" w:color="auto"/>
              </w:divBdr>
              <w:divsChild>
                <w:div w:id="21404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2829">
      <w:bodyDiv w:val="1"/>
      <w:marLeft w:val="0"/>
      <w:marRight w:val="0"/>
      <w:marTop w:val="0"/>
      <w:marBottom w:val="0"/>
      <w:divBdr>
        <w:top w:val="none" w:sz="0" w:space="0" w:color="auto"/>
        <w:left w:val="none" w:sz="0" w:space="0" w:color="auto"/>
        <w:bottom w:val="none" w:sz="0" w:space="0" w:color="auto"/>
        <w:right w:val="none" w:sz="0" w:space="0" w:color="auto"/>
      </w:divBdr>
      <w:divsChild>
        <w:div w:id="2125078517">
          <w:marLeft w:val="0"/>
          <w:marRight w:val="0"/>
          <w:marTop w:val="0"/>
          <w:marBottom w:val="0"/>
          <w:divBdr>
            <w:top w:val="none" w:sz="0" w:space="0" w:color="auto"/>
            <w:left w:val="none" w:sz="0" w:space="0" w:color="auto"/>
            <w:bottom w:val="none" w:sz="0" w:space="0" w:color="auto"/>
            <w:right w:val="none" w:sz="0" w:space="0" w:color="auto"/>
          </w:divBdr>
          <w:divsChild>
            <w:div w:id="1899590374">
              <w:marLeft w:val="0"/>
              <w:marRight w:val="0"/>
              <w:marTop w:val="0"/>
              <w:marBottom w:val="0"/>
              <w:divBdr>
                <w:top w:val="none" w:sz="0" w:space="0" w:color="auto"/>
                <w:left w:val="none" w:sz="0" w:space="0" w:color="auto"/>
                <w:bottom w:val="none" w:sz="0" w:space="0" w:color="auto"/>
                <w:right w:val="none" w:sz="0" w:space="0" w:color="auto"/>
              </w:divBdr>
              <w:divsChild>
                <w:div w:id="12109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402199">
      <w:bodyDiv w:val="1"/>
      <w:marLeft w:val="0"/>
      <w:marRight w:val="0"/>
      <w:marTop w:val="0"/>
      <w:marBottom w:val="0"/>
      <w:divBdr>
        <w:top w:val="none" w:sz="0" w:space="0" w:color="auto"/>
        <w:left w:val="none" w:sz="0" w:space="0" w:color="auto"/>
        <w:bottom w:val="none" w:sz="0" w:space="0" w:color="auto"/>
        <w:right w:val="none" w:sz="0" w:space="0" w:color="auto"/>
      </w:divBdr>
      <w:divsChild>
        <w:div w:id="1063794632">
          <w:marLeft w:val="0"/>
          <w:marRight w:val="0"/>
          <w:marTop w:val="0"/>
          <w:marBottom w:val="0"/>
          <w:divBdr>
            <w:top w:val="none" w:sz="0" w:space="0" w:color="auto"/>
            <w:left w:val="none" w:sz="0" w:space="0" w:color="auto"/>
            <w:bottom w:val="none" w:sz="0" w:space="0" w:color="auto"/>
            <w:right w:val="none" w:sz="0" w:space="0" w:color="auto"/>
          </w:divBdr>
          <w:divsChild>
            <w:div w:id="463740341">
              <w:marLeft w:val="0"/>
              <w:marRight w:val="0"/>
              <w:marTop w:val="0"/>
              <w:marBottom w:val="0"/>
              <w:divBdr>
                <w:top w:val="none" w:sz="0" w:space="0" w:color="auto"/>
                <w:left w:val="none" w:sz="0" w:space="0" w:color="auto"/>
                <w:bottom w:val="none" w:sz="0" w:space="0" w:color="auto"/>
                <w:right w:val="none" w:sz="0" w:space="0" w:color="auto"/>
              </w:divBdr>
              <w:divsChild>
                <w:div w:id="9742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54125">
      <w:bodyDiv w:val="1"/>
      <w:marLeft w:val="0"/>
      <w:marRight w:val="0"/>
      <w:marTop w:val="0"/>
      <w:marBottom w:val="0"/>
      <w:divBdr>
        <w:top w:val="none" w:sz="0" w:space="0" w:color="auto"/>
        <w:left w:val="none" w:sz="0" w:space="0" w:color="auto"/>
        <w:bottom w:val="none" w:sz="0" w:space="0" w:color="auto"/>
        <w:right w:val="none" w:sz="0" w:space="0" w:color="auto"/>
      </w:divBdr>
      <w:divsChild>
        <w:div w:id="1126585614">
          <w:marLeft w:val="0"/>
          <w:marRight w:val="0"/>
          <w:marTop w:val="0"/>
          <w:marBottom w:val="0"/>
          <w:divBdr>
            <w:top w:val="none" w:sz="0" w:space="0" w:color="auto"/>
            <w:left w:val="none" w:sz="0" w:space="0" w:color="auto"/>
            <w:bottom w:val="none" w:sz="0" w:space="0" w:color="auto"/>
            <w:right w:val="none" w:sz="0" w:space="0" w:color="auto"/>
          </w:divBdr>
          <w:divsChild>
            <w:div w:id="1937404260">
              <w:marLeft w:val="0"/>
              <w:marRight w:val="0"/>
              <w:marTop w:val="0"/>
              <w:marBottom w:val="0"/>
              <w:divBdr>
                <w:top w:val="none" w:sz="0" w:space="0" w:color="auto"/>
                <w:left w:val="none" w:sz="0" w:space="0" w:color="auto"/>
                <w:bottom w:val="none" w:sz="0" w:space="0" w:color="auto"/>
                <w:right w:val="none" w:sz="0" w:space="0" w:color="auto"/>
              </w:divBdr>
              <w:divsChild>
                <w:div w:id="85526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16655">
      <w:bodyDiv w:val="1"/>
      <w:marLeft w:val="0"/>
      <w:marRight w:val="0"/>
      <w:marTop w:val="0"/>
      <w:marBottom w:val="0"/>
      <w:divBdr>
        <w:top w:val="none" w:sz="0" w:space="0" w:color="auto"/>
        <w:left w:val="none" w:sz="0" w:space="0" w:color="auto"/>
        <w:bottom w:val="none" w:sz="0" w:space="0" w:color="auto"/>
        <w:right w:val="none" w:sz="0" w:space="0" w:color="auto"/>
      </w:divBdr>
      <w:divsChild>
        <w:div w:id="722288962">
          <w:marLeft w:val="0"/>
          <w:marRight w:val="0"/>
          <w:marTop w:val="0"/>
          <w:marBottom w:val="0"/>
          <w:divBdr>
            <w:top w:val="none" w:sz="0" w:space="0" w:color="auto"/>
            <w:left w:val="none" w:sz="0" w:space="0" w:color="auto"/>
            <w:bottom w:val="none" w:sz="0" w:space="0" w:color="auto"/>
            <w:right w:val="none" w:sz="0" w:space="0" w:color="auto"/>
          </w:divBdr>
          <w:divsChild>
            <w:div w:id="872572182">
              <w:marLeft w:val="0"/>
              <w:marRight w:val="0"/>
              <w:marTop w:val="0"/>
              <w:marBottom w:val="0"/>
              <w:divBdr>
                <w:top w:val="none" w:sz="0" w:space="0" w:color="auto"/>
                <w:left w:val="none" w:sz="0" w:space="0" w:color="auto"/>
                <w:bottom w:val="none" w:sz="0" w:space="0" w:color="auto"/>
                <w:right w:val="none" w:sz="0" w:space="0" w:color="auto"/>
              </w:divBdr>
              <w:divsChild>
                <w:div w:id="145224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37343">
      <w:bodyDiv w:val="1"/>
      <w:marLeft w:val="0"/>
      <w:marRight w:val="0"/>
      <w:marTop w:val="0"/>
      <w:marBottom w:val="0"/>
      <w:divBdr>
        <w:top w:val="none" w:sz="0" w:space="0" w:color="auto"/>
        <w:left w:val="none" w:sz="0" w:space="0" w:color="auto"/>
        <w:bottom w:val="none" w:sz="0" w:space="0" w:color="auto"/>
        <w:right w:val="none" w:sz="0" w:space="0" w:color="auto"/>
      </w:divBdr>
      <w:divsChild>
        <w:div w:id="197085767">
          <w:marLeft w:val="0"/>
          <w:marRight w:val="0"/>
          <w:marTop w:val="0"/>
          <w:marBottom w:val="0"/>
          <w:divBdr>
            <w:top w:val="none" w:sz="0" w:space="0" w:color="auto"/>
            <w:left w:val="none" w:sz="0" w:space="0" w:color="auto"/>
            <w:bottom w:val="none" w:sz="0" w:space="0" w:color="auto"/>
            <w:right w:val="none" w:sz="0" w:space="0" w:color="auto"/>
          </w:divBdr>
          <w:divsChild>
            <w:div w:id="2004166205">
              <w:marLeft w:val="0"/>
              <w:marRight w:val="0"/>
              <w:marTop w:val="0"/>
              <w:marBottom w:val="0"/>
              <w:divBdr>
                <w:top w:val="none" w:sz="0" w:space="0" w:color="auto"/>
                <w:left w:val="none" w:sz="0" w:space="0" w:color="auto"/>
                <w:bottom w:val="none" w:sz="0" w:space="0" w:color="auto"/>
                <w:right w:val="none" w:sz="0" w:space="0" w:color="auto"/>
              </w:divBdr>
              <w:divsChild>
                <w:div w:id="17587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75338">
      <w:bodyDiv w:val="1"/>
      <w:marLeft w:val="0"/>
      <w:marRight w:val="0"/>
      <w:marTop w:val="0"/>
      <w:marBottom w:val="0"/>
      <w:divBdr>
        <w:top w:val="none" w:sz="0" w:space="0" w:color="auto"/>
        <w:left w:val="none" w:sz="0" w:space="0" w:color="auto"/>
        <w:bottom w:val="none" w:sz="0" w:space="0" w:color="auto"/>
        <w:right w:val="none" w:sz="0" w:space="0" w:color="auto"/>
      </w:divBdr>
      <w:divsChild>
        <w:div w:id="1665039456">
          <w:marLeft w:val="0"/>
          <w:marRight w:val="0"/>
          <w:marTop w:val="0"/>
          <w:marBottom w:val="0"/>
          <w:divBdr>
            <w:top w:val="none" w:sz="0" w:space="0" w:color="auto"/>
            <w:left w:val="none" w:sz="0" w:space="0" w:color="auto"/>
            <w:bottom w:val="none" w:sz="0" w:space="0" w:color="auto"/>
            <w:right w:val="none" w:sz="0" w:space="0" w:color="auto"/>
          </w:divBdr>
          <w:divsChild>
            <w:div w:id="1885143303">
              <w:marLeft w:val="0"/>
              <w:marRight w:val="0"/>
              <w:marTop w:val="0"/>
              <w:marBottom w:val="0"/>
              <w:divBdr>
                <w:top w:val="none" w:sz="0" w:space="0" w:color="auto"/>
                <w:left w:val="none" w:sz="0" w:space="0" w:color="auto"/>
                <w:bottom w:val="none" w:sz="0" w:space="0" w:color="auto"/>
                <w:right w:val="none" w:sz="0" w:space="0" w:color="auto"/>
              </w:divBdr>
              <w:divsChild>
                <w:div w:id="13821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85011">
      <w:bodyDiv w:val="1"/>
      <w:marLeft w:val="0"/>
      <w:marRight w:val="0"/>
      <w:marTop w:val="0"/>
      <w:marBottom w:val="0"/>
      <w:divBdr>
        <w:top w:val="none" w:sz="0" w:space="0" w:color="auto"/>
        <w:left w:val="none" w:sz="0" w:space="0" w:color="auto"/>
        <w:bottom w:val="none" w:sz="0" w:space="0" w:color="auto"/>
        <w:right w:val="none" w:sz="0" w:space="0" w:color="auto"/>
      </w:divBdr>
      <w:divsChild>
        <w:div w:id="584146635">
          <w:marLeft w:val="0"/>
          <w:marRight w:val="0"/>
          <w:marTop w:val="0"/>
          <w:marBottom w:val="0"/>
          <w:divBdr>
            <w:top w:val="none" w:sz="0" w:space="0" w:color="auto"/>
            <w:left w:val="none" w:sz="0" w:space="0" w:color="auto"/>
            <w:bottom w:val="none" w:sz="0" w:space="0" w:color="auto"/>
            <w:right w:val="none" w:sz="0" w:space="0" w:color="auto"/>
          </w:divBdr>
          <w:divsChild>
            <w:div w:id="1129859341">
              <w:marLeft w:val="0"/>
              <w:marRight w:val="0"/>
              <w:marTop w:val="0"/>
              <w:marBottom w:val="0"/>
              <w:divBdr>
                <w:top w:val="none" w:sz="0" w:space="0" w:color="auto"/>
                <w:left w:val="none" w:sz="0" w:space="0" w:color="auto"/>
                <w:bottom w:val="none" w:sz="0" w:space="0" w:color="auto"/>
                <w:right w:val="none" w:sz="0" w:space="0" w:color="auto"/>
              </w:divBdr>
              <w:divsChild>
                <w:div w:id="9760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1154">
      <w:bodyDiv w:val="1"/>
      <w:marLeft w:val="0"/>
      <w:marRight w:val="0"/>
      <w:marTop w:val="0"/>
      <w:marBottom w:val="0"/>
      <w:divBdr>
        <w:top w:val="none" w:sz="0" w:space="0" w:color="auto"/>
        <w:left w:val="none" w:sz="0" w:space="0" w:color="auto"/>
        <w:bottom w:val="none" w:sz="0" w:space="0" w:color="auto"/>
        <w:right w:val="none" w:sz="0" w:space="0" w:color="auto"/>
      </w:divBdr>
      <w:divsChild>
        <w:div w:id="703285678">
          <w:marLeft w:val="0"/>
          <w:marRight w:val="0"/>
          <w:marTop w:val="0"/>
          <w:marBottom w:val="0"/>
          <w:divBdr>
            <w:top w:val="none" w:sz="0" w:space="0" w:color="auto"/>
            <w:left w:val="none" w:sz="0" w:space="0" w:color="auto"/>
            <w:bottom w:val="none" w:sz="0" w:space="0" w:color="auto"/>
            <w:right w:val="none" w:sz="0" w:space="0" w:color="auto"/>
          </w:divBdr>
          <w:divsChild>
            <w:div w:id="791242643">
              <w:marLeft w:val="0"/>
              <w:marRight w:val="0"/>
              <w:marTop w:val="0"/>
              <w:marBottom w:val="0"/>
              <w:divBdr>
                <w:top w:val="none" w:sz="0" w:space="0" w:color="auto"/>
                <w:left w:val="none" w:sz="0" w:space="0" w:color="auto"/>
                <w:bottom w:val="none" w:sz="0" w:space="0" w:color="auto"/>
                <w:right w:val="none" w:sz="0" w:space="0" w:color="auto"/>
              </w:divBdr>
              <w:divsChild>
                <w:div w:id="126249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351345">
      <w:bodyDiv w:val="1"/>
      <w:marLeft w:val="0"/>
      <w:marRight w:val="0"/>
      <w:marTop w:val="0"/>
      <w:marBottom w:val="0"/>
      <w:divBdr>
        <w:top w:val="none" w:sz="0" w:space="0" w:color="auto"/>
        <w:left w:val="none" w:sz="0" w:space="0" w:color="auto"/>
        <w:bottom w:val="none" w:sz="0" w:space="0" w:color="auto"/>
        <w:right w:val="none" w:sz="0" w:space="0" w:color="auto"/>
      </w:divBdr>
      <w:divsChild>
        <w:div w:id="1101871452">
          <w:marLeft w:val="0"/>
          <w:marRight w:val="0"/>
          <w:marTop w:val="0"/>
          <w:marBottom w:val="0"/>
          <w:divBdr>
            <w:top w:val="none" w:sz="0" w:space="0" w:color="auto"/>
            <w:left w:val="none" w:sz="0" w:space="0" w:color="auto"/>
            <w:bottom w:val="none" w:sz="0" w:space="0" w:color="auto"/>
            <w:right w:val="none" w:sz="0" w:space="0" w:color="auto"/>
          </w:divBdr>
          <w:divsChild>
            <w:div w:id="1349138284">
              <w:marLeft w:val="0"/>
              <w:marRight w:val="0"/>
              <w:marTop w:val="0"/>
              <w:marBottom w:val="0"/>
              <w:divBdr>
                <w:top w:val="none" w:sz="0" w:space="0" w:color="auto"/>
                <w:left w:val="none" w:sz="0" w:space="0" w:color="auto"/>
                <w:bottom w:val="none" w:sz="0" w:space="0" w:color="auto"/>
                <w:right w:val="none" w:sz="0" w:space="0" w:color="auto"/>
              </w:divBdr>
              <w:divsChild>
                <w:div w:id="2315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09699">
      <w:bodyDiv w:val="1"/>
      <w:marLeft w:val="0"/>
      <w:marRight w:val="0"/>
      <w:marTop w:val="0"/>
      <w:marBottom w:val="0"/>
      <w:divBdr>
        <w:top w:val="none" w:sz="0" w:space="0" w:color="auto"/>
        <w:left w:val="none" w:sz="0" w:space="0" w:color="auto"/>
        <w:bottom w:val="none" w:sz="0" w:space="0" w:color="auto"/>
        <w:right w:val="none" w:sz="0" w:space="0" w:color="auto"/>
      </w:divBdr>
      <w:divsChild>
        <w:div w:id="1277371235">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0"/>
              <w:marBottom w:val="0"/>
              <w:divBdr>
                <w:top w:val="none" w:sz="0" w:space="0" w:color="auto"/>
                <w:left w:val="none" w:sz="0" w:space="0" w:color="auto"/>
                <w:bottom w:val="none" w:sz="0" w:space="0" w:color="auto"/>
                <w:right w:val="none" w:sz="0" w:space="0" w:color="auto"/>
              </w:divBdr>
              <w:divsChild>
                <w:div w:id="8154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11014">
      <w:bodyDiv w:val="1"/>
      <w:marLeft w:val="0"/>
      <w:marRight w:val="0"/>
      <w:marTop w:val="0"/>
      <w:marBottom w:val="0"/>
      <w:divBdr>
        <w:top w:val="none" w:sz="0" w:space="0" w:color="auto"/>
        <w:left w:val="none" w:sz="0" w:space="0" w:color="auto"/>
        <w:bottom w:val="none" w:sz="0" w:space="0" w:color="auto"/>
        <w:right w:val="none" w:sz="0" w:space="0" w:color="auto"/>
      </w:divBdr>
      <w:divsChild>
        <w:div w:id="1285650308">
          <w:marLeft w:val="0"/>
          <w:marRight w:val="0"/>
          <w:marTop w:val="0"/>
          <w:marBottom w:val="0"/>
          <w:divBdr>
            <w:top w:val="none" w:sz="0" w:space="0" w:color="auto"/>
            <w:left w:val="none" w:sz="0" w:space="0" w:color="auto"/>
            <w:bottom w:val="none" w:sz="0" w:space="0" w:color="auto"/>
            <w:right w:val="none" w:sz="0" w:space="0" w:color="auto"/>
          </w:divBdr>
          <w:divsChild>
            <w:div w:id="541208141">
              <w:marLeft w:val="0"/>
              <w:marRight w:val="0"/>
              <w:marTop w:val="0"/>
              <w:marBottom w:val="0"/>
              <w:divBdr>
                <w:top w:val="none" w:sz="0" w:space="0" w:color="auto"/>
                <w:left w:val="none" w:sz="0" w:space="0" w:color="auto"/>
                <w:bottom w:val="none" w:sz="0" w:space="0" w:color="auto"/>
                <w:right w:val="none" w:sz="0" w:space="0" w:color="auto"/>
              </w:divBdr>
              <w:divsChild>
                <w:div w:id="11522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3810">
      <w:bodyDiv w:val="1"/>
      <w:marLeft w:val="0"/>
      <w:marRight w:val="0"/>
      <w:marTop w:val="0"/>
      <w:marBottom w:val="0"/>
      <w:divBdr>
        <w:top w:val="none" w:sz="0" w:space="0" w:color="auto"/>
        <w:left w:val="none" w:sz="0" w:space="0" w:color="auto"/>
        <w:bottom w:val="none" w:sz="0" w:space="0" w:color="auto"/>
        <w:right w:val="none" w:sz="0" w:space="0" w:color="auto"/>
      </w:divBdr>
      <w:divsChild>
        <w:div w:id="1148746595">
          <w:marLeft w:val="0"/>
          <w:marRight w:val="0"/>
          <w:marTop w:val="0"/>
          <w:marBottom w:val="0"/>
          <w:divBdr>
            <w:top w:val="none" w:sz="0" w:space="0" w:color="auto"/>
            <w:left w:val="none" w:sz="0" w:space="0" w:color="auto"/>
            <w:bottom w:val="none" w:sz="0" w:space="0" w:color="auto"/>
            <w:right w:val="none" w:sz="0" w:space="0" w:color="auto"/>
          </w:divBdr>
          <w:divsChild>
            <w:div w:id="375393429">
              <w:marLeft w:val="0"/>
              <w:marRight w:val="0"/>
              <w:marTop w:val="0"/>
              <w:marBottom w:val="0"/>
              <w:divBdr>
                <w:top w:val="none" w:sz="0" w:space="0" w:color="auto"/>
                <w:left w:val="none" w:sz="0" w:space="0" w:color="auto"/>
                <w:bottom w:val="none" w:sz="0" w:space="0" w:color="auto"/>
                <w:right w:val="none" w:sz="0" w:space="0" w:color="auto"/>
              </w:divBdr>
              <w:divsChild>
                <w:div w:id="21138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26991">
      <w:bodyDiv w:val="1"/>
      <w:marLeft w:val="0"/>
      <w:marRight w:val="0"/>
      <w:marTop w:val="0"/>
      <w:marBottom w:val="0"/>
      <w:divBdr>
        <w:top w:val="none" w:sz="0" w:space="0" w:color="auto"/>
        <w:left w:val="none" w:sz="0" w:space="0" w:color="auto"/>
        <w:bottom w:val="none" w:sz="0" w:space="0" w:color="auto"/>
        <w:right w:val="none" w:sz="0" w:space="0" w:color="auto"/>
      </w:divBdr>
      <w:divsChild>
        <w:div w:id="492988488">
          <w:marLeft w:val="0"/>
          <w:marRight w:val="0"/>
          <w:marTop w:val="0"/>
          <w:marBottom w:val="0"/>
          <w:divBdr>
            <w:top w:val="none" w:sz="0" w:space="0" w:color="auto"/>
            <w:left w:val="none" w:sz="0" w:space="0" w:color="auto"/>
            <w:bottom w:val="none" w:sz="0" w:space="0" w:color="auto"/>
            <w:right w:val="none" w:sz="0" w:space="0" w:color="auto"/>
          </w:divBdr>
          <w:divsChild>
            <w:div w:id="485515171">
              <w:marLeft w:val="0"/>
              <w:marRight w:val="0"/>
              <w:marTop w:val="0"/>
              <w:marBottom w:val="0"/>
              <w:divBdr>
                <w:top w:val="none" w:sz="0" w:space="0" w:color="auto"/>
                <w:left w:val="none" w:sz="0" w:space="0" w:color="auto"/>
                <w:bottom w:val="none" w:sz="0" w:space="0" w:color="auto"/>
                <w:right w:val="none" w:sz="0" w:space="0" w:color="auto"/>
              </w:divBdr>
              <w:divsChild>
                <w:div w:id="18606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76475">
      <w:bodyDiv w:val="1"/>
      <w:marLeft w:val="0"/>
      <w:marRight w:val="0"/>
      <w:marTop w:val="0"/>
      <w:marBottom w:val="0"/>
      <w:divBdr>
        <w:top w:val="none" w:sz="0" w:space="0" w:color="auto"/>
        <w:left w:val="none" w:sz="0" w:space="0" w:color="auto"/>
        <w:bottom w:val="none" w:sz="0" w:space="0" w:color="auto"/>
        <w:right w:val="none" w:sz="0" w:space="0" w:color="auto"/>
      </w:divBdr>
      <w:divsChild>
        <w:div w:id="154348251">
          <w:marLeft w:val="0"/>
          <w:marRight w:val="0"/>
          <w:marTop w:val="0"/>
          <w:marBottom w:val="0"/>
          <w:divBdr>
            <w:top w:val="none" w:sz="0" w:space="0" w:color="auto"/>
            <w:left w:val="none" w:sz="0" w:space="0" w:color="auto"/>
            <w:bottom w:val="none" w:sz="0" w:space="0" w:color="auto"/>
            <w:right w:val="none" w:sz="0" w:space="0" w:color="auto"/>
          </w:divBdr>
          <w:divsChild>
            <w:div w:id="128015417">
              <w:marLeft w:val="0"/>
              <w:marRight w:val="0"/>
              <w:marTop w:val="0"/>
              <w:marBottom w:val="0"/>
              <w:divBdr>
                <w:top w:val="none" w:sz="0" w:space="0" w:color="auto"/>
                <w:left w:val="none" w:sz="0" w:space="0" w:color="auto"/>
                <w:bottom w:val="none" w:sz="0" w:space="0" w:color="auto"/>
                <w:right w:val="none" w:sz="0" w:space="0" w:color="auto"/>
              </w:divBdr>
              <w:divsChild>
                <w:div w:id="5056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92727">
      <w:bodyDiv w:val="1"/>
      <w:marLeft w:val="0"/>
      <w:marRight w:val="0"/>
      <w:marTop w:val="0"/>
      <w:marBottom w:val="0"/>
      <w:divBdr>
        <w:top w:val="none" w:sz="0" w:space="0" w:color="auto"/>
        <w:left w:val="none" w:sz="0" w:space="0" w:color="auto"/>
        <w:bottom w:val="none" w:sz="0" w:space="0" w:color="auto"/>
        <w:right w:val="none" w:sz="0" w:space="0" w:color="auto"/>
      </w:divBdr>
      <w:divsChild>
        <w:div w:id="1510102577">
          <w:marLeft w:val="0"/>
          <w:marRight w:val="0"/>
          <w:marTop w:val="0"/>
          <w:marBottom w:val="0"/>
          <w:divBdr>
            <w:top w:val="none" w:sz="0" w:space="0" w:color="auto"/>
            <w:left w:val="none" w:sz="0" w:space="0" w:color="auto"/>
            <w:bottom w:val="none" w:sz="0" w:space="0" w:color="auto"/>
            <w:right w:val="none" w:sz="0" w:space="0" w:color="auto"/>
          </w:divBdr>
          <w:divsChild>
            <w:div w:id="2037388502">
              <w:marLeft w:val="0"/>
              <w:marRight w:val="0"/>
              <w:marTop w:val="0"/>
              <w:marBottom w:val="0"/>
              <w:divBdr>
                <w:top w:val="none" w:sz="0" w:space="0" w:color="auto"/>
                <w:left w:val="none" w:sz="0" w:space="0" w:color="auto"/>
                <w:bottom w:val="none" w:sz="0" w:space="0" w:color="auto"/>
                <w:right w:val="none" w:sz="0" w:space="0" w:color="auto"/>
              </w:divBdr>
              <w:divsChild>
                <w:div w:id="17624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87708">
      <w:bodyDiv w:val="1"/>
      <w:marLeft w:val="0"/>
      <w:marRight w:val="0"/>
      <w:marTop w:val="0"/>
      <w:marBottom w:val="0"/>
      <w:divBdr>
        <w:top w:val="none" w:sz="0" w:space="0" w:color="auto"/>
        <w:left w:val="none" w:sz="0" w:space="0" w:color="auto"/>
        <w:bottom w:val="none" w:sz="0" w:space="0" w:color="auto"/>
        <w:right w:val="none" w:sz="0" w:space="0" w:color="auto"/>
      </w:divBdr>
      <w:divsChild>
        <w:div w:id="1532955977">
          <w:marLeft w:val="0"/>
          <w:marRight w:val="0"/>
          <w:marTop w:val="0"/>
          <w:marBottom w:val="0"/>
          <w:divBdr>
            <w:top w:val="none" w:sz="0" w:space="0" w:color="auto"/>
            <w:left w:val="none" w:sz="0" w:space="0" w:color="auto"/>
            <w:bottom w:val="none" w:sz="0" w:space="0" w:color="auto"/>
            <w:right w:val="none" w:sz="0" w:space="0" w:color="auto"/>
          </w:divBdr>
          <w:divsChild>
            <w:div w:id="1347512006">
              <w:marLeft w:val="0"/>
              <w:marRight w:val="0"/>
              <w:marTop w:val="0"/>
              <w:marBottom w:val="0"/>
              <w:divBdr>
                <w:top w:val="none" w:sz="0" w:space="0" w:color="auto"/>
                <w:left w:val="none" w:sz="0" w:space="0" w:color="auto"/>
                <w:bottom w:val="none" w:sz="0" w:space="0" w:color="auto"/>
                <w:right w:val="none" w:sz="0" w:space="0" w:color="auto"/>
              </w:divBdr>
              <w:divsChild>
                <w:div w:id="18606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04238">
      <w:bodyDiv w:val="1"/>
      <w:marLeft w:val="0"/>
      <w:marRight w:val="0"/>
      <w:marTop w:val="0"/>
      <w:marBottom w:val="0"/>
      <w:divBdr>
        <w:top w:val="none" w:sz="0" w:space="0" w:color="auto"/>
        <w:left w:val="none" w:sz="0" w:space="0" w:color="auto"/>
        <w:bottom w:val="none" w:sz="0" w:space="0" w:color="auto"/>
        <w:right w:val="none" w:sz="0" w:space="0" w:color="auto"/>
      </w:divBdr>
      <w:divsChild>
        <w:div w:id="1408311043">
          <w:marLeft w:val="0"/>
          <w:marRight w:val="0"/>
          <w:marTop w:val="0"/>
          <w:marBottom w:val="0"/>
          <w:divBdr>
            <w:top w:val="none" w:sz="0" w:space="0" w:color="auto"/>
            <w:left w:val="none" w:sz="0" w:space="0" w:color="auto"/>
            <w:bottom w:val="none" w:sz="0" w:space="0" w:color="auto"/>
            <w:right w:val="none" w:sz="0" w:space="0" w:color="auto"/>
          </w:divBdr>
          <w:divsChild>
            <w:div w:id="325793554">
              <w:marLeft w:val="0"/>
              <w:marRight w:val="0"/>
              <w:marTop w:val="0"/>
              <w:marBottom w:val="0"/>
              <w:divBdr>
                <w:top w:val="none" w:sz="0" w:space="0" w:color="auto"/>
                <w:left w:val="none" w:sz="0" w:space="0" w:color="auto"/>
                <w:bottom w:val="none" w:sz="0" w:space="0" w:color="auto"/>
                <w:right w:val="none" w:sz="0" w:space="0" w:color="auto"/>
              </w:divBdr>
              <w:divsChild>
                <w:div w:id="14859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3846">
      <w:bodyDiv w:val="1"/>
      <w:marLeft w:val="0"/>
      <w:marRight w:val="0"/>
      <w:marTop w:val="0"/>
      <w:marBottom w:val="0"/>
      <w:divBdr>
        <w:top w:val="none" w:sz="0" w:space="0" w:color="auto"/>
        <w:left w:val="none" w:sz="0" w:space="0" w:color="auto"/>
        <w:bottom w:val="none" w:sz="0" w:space="0" w:color="auto"/>
        <w:right w:val="none" w:sz="0" w:space="0" w:color="auto"/>
      </w:divBdr>
      <w:divsChild>
        <w:div w:id="1977107079">
          <w:marLeft w:val="0"/>
          <w:marRight w:val="0"/>
          <w:marTop w:val="0"/>
          <w:marBottom w:val="0"/>
          <w:divBdr>
            <w:top w:val="none" w:sz="0" w:space="0" w:color="auto"/>
            <w:left w:val="none" w:sz="0" w:space="0" w:color="auto"/>
            <w:bottom w:val="none" w:sz="0" w:space="0" w:color="auto"/>
            <w:right w:val="none" w:sz="0" w:space="0" w:color="auto"/>
          </w:divBdr>
          <w:divsChild>
            <w:div w:id="1828089603">
              <w:marLeft w:val="0"/>
              <w:marRight w:val="0"/>
              <w:marTop w:val="0"/>
              <w:marBottom w:val="0"/>
              <w:divBdr>
                <w:top w:val="none" w:sz="0" w:space="0" w:color="auto"/>
                <w:left w:val="none" w:sz="0" w:space="0" w:color="auto"/>
                <w:bottom w:val="none" w:sz="0" w:space="0" w:color="auto"/>
                <w:right w:val="none" w:sz="0" w:space="0" w:color="auto"/>
              </w:divBdr>
              <w:divsChild>
                <w:div w:id="20784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22087">
      <w:bodyDiv w:val="1"/>
      <w:marLeft w:val="0"/>
      <w:marRight w:val="0"/>
      <w:marTop w:val="0"/>
      <w:marBottom w:val="0"/>
      <w:divBdr>
        <w:top w:val="none" w:sz="0" w:space="0" w:color="auto"/>
        <w:left w:val="none" w:sz="0" w:space="0" w:color="auto"/>
        <w:bottom w:val="none" w:sz="0" w:space="0" w:color="auto"/>
        <w:right w:val="none" w:sz="0" w:space="0" w:color="auto"/>
      </w:divBdr>
      <w:divsChild>
        <w:div w:id="509293547">
          <w:marLeft w:val="0"/>
          <w:marRight w:val="0"/>
          <w:marTop w:val="0"/>
          <w:marBottom w:val="0"/>
          <w:divBdr>
            <w:top w:val="none" w:sz="0" w:space="0" w:color="auto"/>
            <w:left w:val="none" w:sz="0" w:space="0" w:color="auto"/>
            <w:bottom w:val="none" w:sz="0" w:space="0" w:color="auto"/>
            <w:right w:val="none" w:sz="0" w:space="0" w:color="auto"/>
          </w:divBdr>
          <w:divsChild>
            <w:div w:id="1898977409">
              <w:marLeft w:val="0"/>
              <w:marRight w:val="0"/>
              <w:marTop w:val="0"/>
              <w:marBottom w:val="0"/>
              <w:divBdr>
                <w:top w:val="none" w:sz="0" w:space="0" w:color="auto"/>
                <w:left w:val="none" w:sz="0" w:space="0" w:color="auto"/>
                <w:bottom w:val="none" w:sz="0" w:space="0" w:color="auto"/>
                <w:right w:val="none" w:sz="0" w:space="0" w:color="auto"/>
              </w:divBdr>
              <w:divsChild>
                <w:div w:id="18383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78066">
      <w:bodyDiv w:val="1"/>
      <w:marLeft w:val="0"/>
      <w:marRight w:val="0"/>
      <w:marTop w:val="0"/>
      <w:marBottom w:val="0"/>
      <w:divBdr>
        <w:top w:val="none" w:sz="0" w:space="0" w:color="auto"/>
        <w:left w:val="none" w:sz="0" w:space="0" w:color="auto"/>
        <w:bottom w:val="none" w:sz="0" w:space="0" w:color="auto"/>
        <w:right w:val="none" w:sz="0" w:space="0" w:color="auto"/>
      </w:divBdr>
      <w:divsChild>
        <w:div w:id="275527869">
          <w:marLeft w:val="0"/>
          <w:marRight w:val="0"/>
          <w:marTop w:val="0"/>
          <w:marBottom w:val="0"/>
          <w:divBdr>
            <w:top w:val="none" w:sz="0" w:space="0" w:color="auto"/>
            <w:left w:val="none" w:sz="0" w:space="0" w:color="auto"/>
            <w:bottom w:val="none" w:sz="0" w:space="0" w:color="auto"/>
            <w:right w:val="none" w:sz="0" w:space="0" w:color="auto"/>
          </w:divBdr>
          <w:divsChild>
            <w:div w:id="759180642">
              <w:marLeft w:val="0"/>
              <w:marRight w:val="0"/>
              <w:marTop w:val="0"/>
              <w:marBottom w:val="0"/>
              <w:divBdr>
                <w:top w:val="none" w:sz="0" w:space="0" w:color="auto"/>
                <w:left w:val="none" w:sz="0" w:space="0" w:color="auto"/>
                <w:bottom w:val="none" w:sz="0" w:space="0" w:color="auto"/>
                <w:right w:val="none" w:sz="0" w:space="0" w:color="auto"/>
              </w:divBdr>
              <w:divsChild>
                <w:div w:id="200273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45950">
      <w:bodyDiv w:val="1"/>
      <w:marLeft w:val="0"/>
      <w:marRight w:val="0"/>
      <w:marTop w:val="0"/>
      <w:marBottom w:val="0"/>
      <w:divBdr>
        <w:top w:val="none" w:sz="0" w:space="0" w:color="auto"/>
        <w:left w:val="none" w:sz="0" w:space="0" w:color="auto"/>
        <w:bottom w:val="none" w:sz="0" w:space="0" w:color="auto"/>
        <w:right w:val="none" w:sz="0" w:space="0" w:color="auto"/>
      </w:divBdr>
      <w:divsChild>
        <w:div w:id="1035891535">
          <w:marLeft w:val="0"/>
          <w:marRight w:val="0"/>
          <w:marTop w:val="0"/>
          <w:marBottom w:val="0"/>
          <w:divBdr>
            <w:top w:val="none" w:sz="0" w:space="0" w:color="auto"/>
            <w:left w:val="none" w:sz="0" w:space="0" w:color="auto"/>
            <w:bottom w:val="none" w:sz="0" w:space="0" w:color="auto"/>
            <w:right w:val="none" w:sz="0" w:space="0" w:color="auto"/>
          </w:divBdr>
          <w:divsChild>
            <w:div w:id="1206866584">
              <w:marLeft w:val="0"/>
              <w:marRight w:val="0"/>
              <w:marTop w:val="0"/>
              <w:marBottom w:val="0"/>
              <w:divBdr>
                <w:top w:val="none" w:sz="0" w:space="0" w:color="auto"/>
                <w:left w:val="none" w:sz="0" w:space="0" w:color="auto"/>
                <w:bottom w:val="none" w:sz="0" w:space="0" w:color="auto"/>
                <w:right w:val="none" w:sz="0" w:space="0" w:color="auto"/>
              </w:divBdr>
              <w:divsChild>
                <w:div w:id="18009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60904">
      <w:bodyDiv w:val="1"/>
      <w:marLeft w:val="0"/>
      <w:marRight w:val="0"/>
      <w:marTop w:val="0"/>
      <w:marBottom w:val="0"/>
      <w:divBdr>
        <w:top w:val="none" w:sz="0" w:space="0" w:color="auto"/>
        <w:left w:val="none" w:sz="0" w:space="0" w:color="auto"/>
        <w:bottom w:val="none" w:sz="0" w:space="0" w:color="auto"/>
        <w:right w:val="none" w:sz="0" w:space="0" w:color="auto"/>
      </w:divBdr>
    </w:div>
    <w:div w:id="1466704429">
      <w:bodyDiv w:val="1"/>
      <w:marLeft w:val="0"/>
      <w:marRight w:val="0"/>
      <w:marTop w:val="0"/>
      <w:marBottom w:val="0"/>
      <w:divBdr>
        <w:top w:val="none" w:sz="0" w:space="0" w:color="auto"/>
        <w:left w:val="none" w:sz="0" w:space="0" w:color="auto"/>
        <w:bottom w:val="none" w:sz="0" w:space="0" w:color="auto"/>
        <w:right w:val="none" w:sz="0" w:space="0" w:color="auto"/>
      </w:divBdr>
      <w:divsChild>
        <w:div w:id="1756896854">
          <w:marLeft w:val="0"/>
          <w:marRight w:val="0"/>
          <w:marTop w:val="0"/>
          <w:marBottom w:val="0"/>
          <w:divBdr>
            <w:top w:val="none" w:sz="0" w:space="0" w:color="auto"/>
            <w:left w:val="none" w:sz="0" w:space="0" w:color="auto"/>
            <w:bottom w:val="none" w:sz="0" w:space="0" w:color="auto"/>
            <w:right w:val="none" w:sz="0" w:space="0" w:color="auto"/>
          </w:divBdr>
          <w:divsChild>
            <w:div w:id="1102535836">
              <w:marLeft w:val="0"/>
              <w:marRight w:val="0"/>
              <w:marTop w:val="0"/>
              <w:marBottom w:val="0"/>
              <w:divBdr>
                <w:top w:val="none" w:sz="0" w:space="0" w:color="auto"/>
                <w:left w:val="none" w:sz="0" w:space="0" w:color="auto"/>
                <w:bottom w:val="none" w:sz="0" w:space="0" w:color="auto"/>
                <w:right w:val="none" w:sz="0" w:space="0" w:color="auto"/>
              </w:divBdr>
              <w:divsChild>
                <w:div w:id="21185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76282">
      <w:bodyDiv w:val="1"/>
      <w:marLeft w:val="0"/>
      <w:marRight w:val="0"/>
      <w:marTop w:val="0"/>
      <w:marBottom w:val="0"/>
      <w:divBdr>
        <w:top w:val="none" w:sz="0" w:space="0" w:color="auto"/>
        <w:left w:val="none" w:sz="0" w:space="0" w:color="auto"/>
        <w:bottom w:val="none" w:sz="0" w:space="0" w:color="auto"/>
        <w:right w:val="none" w:sz="0" w:space="0" w:color="auto"/>
      </w:divBdr>
      <w:divsChild>
        <w:div w:id="1035082342">
          <w:marLeft w:val="0"/>
          <w:marRight w:val="0"/>
          <w:marTop w:val="0"/>
          <w:marBottom w:val="0"/>
          <w:divBdr>
            <w:top w:val="none" w:sz="0" w:space="0" w:color="auto"/>
            <w:left w:val="none" w:sz="0" w:space="0" w:color="auto"/>
            <w:bottom w:val="none" w:sz="0" w:space="0" w:color="auto"/>
            <w:right w:val="none" w:sz="0" w:space="0" w:color="auto"/>
          </w:divBdr>
          <w:divsChild>
            <w:div w:id="289627324">
              <w:marLeft w:val="0"/>
              <w:marRight w:val="0"/>
              <w:marTop w:val="0"/>
              <w:marBottom w:val="0"/>
              <w:divBdr>
                <w:top w:val="none" w:sz="0" w:space="0" w:color="auto"/>
                <w:left w:val="none" w:sz="0" w:space="0" w:color="auto"/>
                <w:bottom w:val="none" w:sz="0" w:space="0" w:color="auto"/>
                <w:right w:val="none" w:sz="0" w:space="0" w:color="auto"/>
              </w:divBdr>
              <w:divsChild>
                <w:div w:id="10334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54994">
      <w:bodyDiv w:val="1"/>
      <w:marLeft w:val="0"/>
      <w:marRight w:val="0"/>
      <w:marTop w:val="0"/>
      <w:marBottom w:val="0"/>
      <w:divBdr>
        <w:top w:val="none" w:sz="0" w:space="0" w:color="auto"/>
        <w:left w:val="none" w:sz="0" w:space="0" w:color="auto"/>
        <w:bottom w:val="none" w:sz="0" w:space="0" w:color="auto"/>
        <w:right w:val="none" w:sz="0" w:space="0" w:color="auto"/>
      </w:divBdr>
      <w:divsChild>
        <w:div w:id="1613125547">
          <w:marLeft w:val="0"/>
          <w:marRight w:val="0"/>
          <w:marTop w:val="0"/>
          <w:marBottom w:val="0"/>
          <w:divBdr>
            <w:top w:val="none" w:sz="0" w:space="0" w:color="auto"/>
            <w:left w:val="none" w:sz="0" w:space="0" w:color="auto"/>
            <w:bottom w:val="none" w:sz="0" w:space="0" w:color="auto"/>
            <w:right w:val="none" w:sz="0" w:space="0" w:color="auto"/>
          </w:divBdr>
          <w:divsChild>
            <w:div w:id="1150512789">
              <w:marLeft w:val="0"/>
              <w:marRight w:val="0"/>
              <w:marTop w:val="0"/>
              <w:marBottom w:val="0"/>
              <w:divBdr>
                <w:top w:val="none" w:sz="0" w:space="0" w:color="auto"/>
                <w:left w:val="none" w:sz="0" w:space="0" w:color="auto"/>
                <w:bottom w:val="none" w:sz="0" w:space="0" w:color="auto"/>
                <w:right w:val="none" w:sz="0" w:space="0" w:color="auto"/>
              </w:divBdr>
              <w:divsChild>
                <w:div w:id="50764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346648">
      <w:bodyDiv w:val="1"/>
      <w:marLeft w:val="0"/>
      <w:marRight w:val="0"/>
      <w:marTop w:val="0"/>
      <w:marBottom w:val="0"/>
      <w:divBdr>
        <w:top w:val="none" w:sz="0" w:space="0" w:color="auto"/>
        <w:left w:val="none" w:sz="0" w:space="0" w:color="auto"/>
        <w:bottom w:val="none" w:sz="0" w:space="0" w:color="auto"/>
        <w:right w:val="none" w:sz="0" w:space="0" w:color="auto"/>
      </w:divBdr>
    </w:div>
    <w:div w:id="1699505723">
      <w:bodyDiv w:val="1"/>
      <w:marLeft w:val="0"/>
      <w:marRight w:val="0"/>
      <w:marTop w:val="0"/>
      <w:marBottom w:val="0"/>
      <w:divBdr>
        <w:top w:val="none" w:sz="0" w:space="0" w:color="auto"/>
        <w:left w:val="none" w:sz="0" w:space="0" w:color="auto"/>
        <w:bottom w:val="none" w:sz="0" w:space="0" w:color="auto"/>
        <w:right w:val="none" w:sz="0" w:space="0" w:color="auto"/>
      </w:divBdr>
      <w:divsChild>
        <w:div w:id="976303230">
          <w:marLeft w:val="0"/>
          <w:marRight w:val="0"/>
          <w:marTop w:val="0"/>
          <w:marBottom w:val="0"/>
          <w:divBdr>
            <w:top w:val="none" w:sz="0" w:space="0" w:color="auto"/>
            <w:left w:val="none" w:sz="0" w:space="0" w:color="auto"/>
            <w:bottom w:val="none" w:sz="0" w:space="0" w:color="auto"/>
            <w:right w:val="none" w:sz="0" w:space="0" w:color="auto"/>
          </w:divBdr>
          <w:divsChild>
            <w:div w:id="417600688">
              <w:marLeft w:val="0"/>
              <w:marRight w:val="0"/>
              <w:marTop w:val="0"/>
              <w:marBottom w:val="0"/>
              <w:divBdr>
                <w:top w:val="none" w:sz="0" w:space="0" w:color="auto"/>
                <w:left w:val="none" w:sz="0" w:space="0" w:color="auto"/>
                <w:bottom w:val="none" w:sz="0" w:space="0" w:color="auto"/>
                <w:right w:val="none" w:sz="0" w:space="0" w:color="auto"/>
              </w:divBdr>
              <w:divsChild>
                <w:div w:id="16934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538289">
      <w:bodyDiv w:val="1"/>
      <w:marLeft w:val="0"/>
      <w:marRight w:val="0"/>
      <w:marTop w:val="0"/>
      <w:marBottom w:val="0"/>
      <w:divBdr>
        <w:top w:val="none" w:sz="0" w:space="0" w:color="auto"/>
        <w:left w:val="none" w:sz="0" w:space="0" w:color="auto"/>
        <w:bottom w:val="none" w:sz="0" w:space="0" w:color="auto"/>
        <w:right w:val="none" w:sz="0" w:space="0" w:color="auto"/>
      </w:divBdr>
      <w:divsChild>
        <w:div w:id="1178157353">
          <w:marLeft w:val="0"/>
          <w:marRight w:val="0"/>
          <w:marTop w:val="0"/>
          <w:marBottom w:val="0"/>
          <w:divBdr>
            <w:top w:val="none" w:sz="0" w:space="0" w:color="auto"/>
            <w:left w:val="none" w:sz="0" w:space="0" w:color="auto"/>
            <w:bottom w:val="none" w:sz="0" w:space="0" w:color="auto"/>
            <w:right w:val="none" w:sz="0" w:space="0" w:color="auto"/>
          </w:divBdr>
          <w:divsChild>
            <w:div w:id="1377318971">
              <w:marLeft w:val="0"/>
              <w:marRight w:val="0"/>
              <w:marTop w:val="0"/>
              <w:marBottom w:val="0"/>
              <w:divBdr>
                <w:top w:val="none" w:sz="0" w:space="0" w:color="auto"/>
                <w:left w:val="none" w:sz="0" w:space="0" w:color="auto"/>
                <w:bottom w:val="none" w:sz="0" w:space="0" w:color="auto"/>
                <w:right w:val="none" w:sz="0" w:space="0" w:color="auto"/>
              </w:divBdr>
              <w:divsChild>
                <w:div w:id="17876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58337">
      <w:bodyDiv w:val="1"/>
      <w:marLeft w:val="0"/>
      <w:marRight w:val="0"/>
      <w:marTop w:val="0"/>
      <w:marBottom w:val="0"/>
      <w:divBdr>
        <w:top w:val="none" w:sz="0" w:space="0" w:color="auto"/>
        <w:left w:val="none" w:sz="0" w:space="0" w:color="auto"/>
        <w:bottom w:val="none" w:sz="0" w:space="0" w:color="auto"/>
        <w:right w:val="none" w:sz="0" w:space="0" w:color="auto"/>
      </w:divBdr>
      <w:divsChild>
        <w:div w:id="1581673816">
          <w:marLeft w:val="0"/>
          <w:marRight w:val="0"/>
          <w:marTop w:val="0"/>
          <w:marBottom w:val="0"/>
          <w:divBdr>
            <w:top w:val="none" w:sz="0" w:space="0" w:color="auto"/>
            <w:left w:val="none" w:sz="0" w:space="0" w:color="auto"/>
            <w:bottom w:val="none" w:sz="0" w:space="0" w:color="auto"/>
            <w:right w:val="none" w:sz="0" w:space="0" w:color="auto"/>
          </w:divBdr>
          <w:divsChild>
            <w:div w:id="2111701401">
              <w:marLeft w:val="0"/>
              <w:marRight w:val="0"/>
              <w:marTop w:val="0"/>
              <w:marBottom w:val="0"/>
              <w:divBdr>
                <w:top w:val="none" w:sz="0" w:space="0" w:color="auto"/>
                <w:left w:val="none" w:sz="0" w:space="0" w:color="auto"/>
                <w:bottom w:val="none" w:sz="0" w:space="0" w:color="auto"/>
                <w:right w:val="none" w:sz="0" w:space="0" w:color="auto"/>
              </w:divBdr>
              <w:divsChild>
                <w:div w:id="148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857565">
      <w:bodyDiv w:val="1"/>
      <w:marLeft w:val="0"/>
      <w:marRight w:val="0"/>
      <w:marTop w:val="0"/>
      <w:marBottom w:val="0"/>
      <w:divBdr>
        <w:top w:val="none" w:sz="0" w:space="0" w:color="auto"/>
        <w:left w:val="none" w:sz="0" w:space="0" w:color="auto"/>
        <w:bottom w:val="none" w:sz="0" w:space="0" w:color="auto"/>
        <w:right w:val="none" w:sz="0" w:space="0" w:color="auto"/>
      </w:divBdr>
      <w:divsChild>
        <w:div w:id="241449561">
          <w:marLeft w:val="0"/>
          <w:marRight w:val="0"/>
          <w:marTop w:val="0"/>
          <w:marBottom w:val="0"/>
          <w:divBdr>
            <w:top w:val="none" w:sz="0" w:space="0" w:color="auto"/>
            <w:left w:val="none" w:sz="0" w:space="0" w:color="auto"/>
            <w:bottom w:val="none" w:sz="0" w:space="0" w:color="auto"/>
            <w:right w:val="none" w:sz="0" w:space="0" w:color="auto"/>
          </w:divBdr>
          <w:divsChild>
            <w:div w:id="760184104">
              <w:marLeft w:val="0"/>
              <w:marRight w:val="0"/>
              <w:marTop w:val="0"/>
              <w:marBottom w:val="0"/>
              <w:divBdr>
                <w:top w:val="none" w:sz="0" w:space="0" w:color="auto"/>
                <w:left w:val="none" w:sz="0" w:space="0" w:color="auto"/>
                <w:bottom w:val="none" w:sz="0" w:space="0" w:color="auto"/>
                <w:right w:val="none" w:sz="0" w:space="0" w:color="auto"/>
              </w:divBdr>
              <w:divsChild>
                <w:div w:id="10047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30826">
      <w:bodyDiv w:val="1"/>
      <w:marLeft w:val="0"/>
      <w:marRight w:val="0"/>
      <w:marTop w:val="0"/>
      <w:marBottom w:val="0"/>
      <w:divBdr>
        <w:top w:val="none" w:sz="0" w:space="0" w:color="auto"/>
        <w:left w:val="none" w:sz="0" w:space="0" w:color="auto"/>
        <w:bottom w:val="none" w:sz="0" w:space="0" w:color="auto"/>
        <w:right w:val="none" w:sz="0" w:space="0" w:color="auto"/>
      </w:divBdr>
      <w:divsChild>
        <w:div w:id="814220198">
          <w:marLeft w:val="0"/>
          <w:marRight w:val="0"/>
          <w:marTop w:val="0"/>
          <w:marBottom w:val="0"/>
          <w:divBdr>
            <w:top w:val="none" w:sz="0" w:space="0" w:color="auto"/>
            <w:left w:val="none" w:sz="0" w:space="0" w:color="auto"/>
            <w:bottom w:val="none" w:sz="0" w:space="0" w:color="auto"/>
            <w:right w:val="none" w:sz="0" w:space="0" w:color="auto"/>
          </w:divBdr>
          <w:divsChild>
            <w:div w:id="273907255">
              <w:marLeft w:val="0"/>
              <w:marRight w:val="0"/>
              <w:marTop w:val="0"/>
              <w:marBottom w:val="0"/>
              <w:divBdr>
                <w:top w:val="none" w:sz="0" w:space="0" w:color="auto"/>
                <w:left w:val="none" w:sz="0" w:space="0" w:color="auto"/>
                <w:bottom w:val="none" w:sz="0" w:space="0" w:color="auto"/>
                <w:right w:val="none" w:sz="0" w:space="0" w:color="auto"/>
              </w:divBdr>
              <w:divsChild>
                <w:div w:id="8471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651726">
      <w:bodyDiv w:val="1"/>
      <w:marLeft w:val="0"/>
      <w:marRight w:val="0"/>
      <w:marTop w:val="0"/>
      <w:marBottom w:val="0"/>
      <w:divBdr>
        <w:top w:val="none" w:sz="0" w:space="0" w:color="auto"/>
        <w:left w:val="none" w:sz="0" w:space="0" w:color="auto"/>
        <w:bottom w:val="none" w:sz="0" w:space="0" w:color="auto"/>
        <w:right w:val="none" w:sz="0" w:space="0" w:color="auto"/>
      </w:divBdr>
      <w:divsChild>
        <w:div w:id="1444223808">
          <w:marLeft w:val="0"/>
          <w:marRight w:val="0"/>
          <w:marTop w:val="0"/>
          <w:marBottom w:val="0"/>
          <w:divBdr>
            <w:top w:val="none" w:sz="0" w:space="0" w:color="auto"/>
            <w:left w:val="none" w:sz="0" w:space="0" w:color="auto"/>
            <w:bottom w:val="none" w:sz="0" w:space="0" w:color="auto"/>
            <w:right w:val="none" w:sz="0" w:space="0" w:color="auto"/>
          </w:divBdr>
          <w:divsChild>
            <w:div w:id="448745840">
              <w:marLeft w:val="0"/>
              <w:marRight w:val="0"/>
              <w:marTop w:val="0"/>
              <w:marBottom w:val="0"/>
              <w:divBdr>
                <w:top w:val="none" w:sz="0" w:space="0" w:color="auto"/>
                <w:left w:val="none" w:sz="0" w:space="0" w:color="auto"/>
                <w:bottom w:val="none" w:sz="0" w:space="0" w:color="auto"/>
                <w:right w:val="none" w:sz="0" w:space="0" w:color="auto"/>
              </w:divBdr>
              <w:divsChild>
                <w:div w:id="661546192">
                  <w:marLeft w:val="0"/>
                  <w:marRight w:val="0"/>
                  <w:marTop w:val="0"/>
                  <w:marBottom w:val="0"/>
                  <w:divBdr>
                    <w:top w:val="none" w:sz="0" w:space="0" w:color="auto"/>
                    <w:left w:val="none" w:sz="0" w:space="0" w:color="auto"/>
                    <w:bottom w:val="none" w:sz="0" w:space="0" w:color="auto"/>
                    <w:right w:val="none" w:sz="0" w:space="0" w:color="auto"/>
                  </w:divBdr>
                  <w:divsChild>
                    <w:div w:id="158302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03929">
      <w:bodyDiv w:val="1"/>
      <w:marLeft w:val="0"/>
      <w:marRight w:val="0"/>
      <w:marTop w:val="0"/>
      <w:marBottom w:val="0"/>
      <w:divBdr>
        <w:top w:val="none" w:sz="0" w:space="0" w:color="auto"/>
        <w:left w:val="none" w:sz="0" w:space="0" w:color="auto"/>
        <w:bottom w:val="none" w:sz="0" w:space="0" w:color="auto"/>
        <w:right w:val="none" w:sz="0" w:space="0" w:color="auto"/>
      </w:divBdr>
      <w:divsChild>
        <w:div w:id="1292054818">
          <w:marLeft w:val="0"/>
          <w:marRight w:val="0"/>
          <w:marTop w:val="0"/>
          <w:marBottom w:val="0"/>
          <w:divBdr>
            <w:top w:val="none" w:sz="0" w:space="0" w:color="auto"/>
            <w:left w:val="none" w:sz="0" w:space="0" w:color="auto"/>
            <w:bottom w:val="none" w:sz="0" w:space="0" w:color="auto"/>
            <w:right w:val="none" w:sz="0" w:space="0" w:color="auto"/>
          </w:divBdr>
          <w:divsChild>
            <w:div w:id="1879589524">
              <w:marLeft w:val="0"/>
              <w:marRight w:val="0"/>
              <w:marTop w:val="0"/>
              <w:marBottom w:val="0"/>
              <w:divBdr>
                <w:top w:val="none" w:sz="0" w:space="0" w:color="auto"/>
                <w:left w:val="none" w:sz="0" w:space="0" w:color="auto"/>
                <w:bottom w:val="none" w:sz="0" w:space="0" w:color="auto"/>
                <w:right w:val="none" w:sz="0" w:space="0" w:color="auto"/>
              </w:divBdr>
              <w:divsChild>
                <w:div w:id="123851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1096">
      <w:bodyDiv w:val="1"/>
      <w:marLeft w:val="0"/>
      <w:marRight w:val="0"/>
      <w:marTop w:val="0"/>
      <w:marBottom w:val="0"/>
      <w:divBdr>
        <w:top w:val="none" w:sz="0" w:space="0" w:color="auto"/>
        <w:left w:val="none" w:sz="0" w:space="0" w:color="auto"/>
        <w:bottom w:val="none" w:sz="0" w:space="0" w:color="auto"/>
        <w:right w:val="none" w:sz="0" w:space="0" w:color="auto"/>
      </w:divBdr>
    </w:div>
    <w:div w:id="2134516310">
      <w:bodyDiv w:val="1"/>
      <w:marLeft w:val="0"/>
      <w:marRight w:val="0"/>
      <w:marTop w:val="0"/>
      <w:marBottom w:val="0"/>
      <w:divBdr>
        <w:top w:val="none" w:sz="0" w:space="0" w:color="auto"/>
        <w:left w:val="none" w:sz="0" w:space="0" w:color="auto"/>
        <w:bottom w:val="none" w:sz="0" w:space="0" w:color="auto"/>
        <w:right w:val="none" w:sz="0" w:space="0" w:color="auto"/>
      </w:divBdr>
      <w:divsChild>
        <w:div w:id="2046711073">
          <w:marLeft w:val="0"/>
          <w:marRight w:val="0"/>
          <w:marTop w:val="0"/>
          <w:marBottom w:val="0"/>
          <w:divBdr>
            <w:top w:val="none" w:sz="0" w:space="0" w:color="auto"/>
            <w:left w:val="none" w:sz="0" w:space="0" w:color="auto"/>
            <w:bottom w:val="none" w:sz="0" w:space="0" w:color="auto"/>
            <w:right w:val="none" w:sz="0" w:space="0" w:color="auto"/>
          </w:divBdr>
          <w:divsChild>
            <w:div w:id="1969122158">
              <w:marLeft w:val="0"/>
              <w:marRight w:val="0"/>
              <w:marTop w:val="0"/>
              <w:marBottom w:val="0"/>
              <w:divBdr>
                <w:top w:val="none" w:sz="0" w:space="0" w:color="auto"/>
                <w:left w:val="none" w:sz="0" w:space="0" w:color="auto"/>
                <w:bottom w:val="none" w:sz="0" w:space="0" w:color="auto"/>
                <w:right w:val="none" w:sz="0" w:space="0" w:color="auto"/>
              </w:divBdr>
              <w:divsChild>
                <w:div w:id="17490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10870-866C-E343-87BD-8AC3960BD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2843</Words>
  <Characters>16209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Ezra LIM Pin</dc:creator>
  <cp:keywords/>
  <dc:description/>
  <cp:lastModifiedBy>Megan Chua</cp:lastModifiedBy>
  <cp:revision>2</cp:revision>
  <dcterms:created xsi:type="dcterms:W3CDTF">2023-01-22T03:04:00Z</dcterms:created>
  <dcterms:modified xsi:type="dcterms:W3CDTF">2023-01-22T03:04:00Z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#000000,8,Calibri</vt:lpwstr>
  </property>
  <property fmtid="{D5CDD505-2E9C-101B-9397-08002B2CF9AE}" pid="4" name="ClassificationContentMarkingHeaderText">
    <vt:lpwstr>SMU Classification: Restricted</vt:lpwstr>
  </property>
  <property fmtid="{D5CDD505-2E9C-101B-9397-08002B2CF9AE}" pid="5" name="MSIP_Label_6951d41b-6b8e-4636-984f-012bff14ba18_Enabled">
    <vt:lpwstr>true</vt:lpwstr>
  </property>
  <property fmtid="{D5CDD505-2E9C-101B-9397-08002B2CF9AE}" pid="6" name="MSIP_Label_6951d41b-6b8e-4636-984f-012bff14ba18_SetDate">
    <vt:lpwstr>2022-11-07T07:33:50Z</vt:lpwstr>
  </property>
  <property fmtid="{D5CDD505-2E9C-101B-9397-08002B2CF9AE}" pid="7" name="MSIP_Label_6951d41b-6b8e-4636-984f-012bff14ba18_Method">
    <vt:lpwstr>Standard</vt:lpwstr>
  </property>
  <property fmtid="{D5CDD505-2E9C-101B-9397-08002B2CF9AE}" pid="8" name="MSIP_Label_6951d41b-6b8e-4636-984f-012bff14ba18_Name">
    <vt:lpwstr>6951d41b-6b8e-4636-984f-012bff14ba18</vt:lpwstr>
  </property>
  <property fmtid="{D5CDD505-2E9C-101B-9397-08002B2CF9AE}" pid="9" name="MSIP_Label_6951d41b-6b8e-4636-984f-012bff14ba18_SiteId">
    <vt:lpwstr>c98a79ca-5a9a-4791-a243-f06afd67464d</vt:lpwstr>
  </property>
  <property fmtid="{D5CDD505-2E9C-101B-9397-08002B2CF9AE}" pid="10" name="MSIP_Label_6951d41b-6b8e-4636-984f-012bff14ba18_ActionId">
    <vt:lpwstr>ef3a90d2-9dc0-4e4a-85a6-c51b6194b96c</vt:lpwstr>
  </property>
  <property fmtid="{D5CDD505-2E9C-101B-9397-08002B2CF9AE}" pid="11" name="MSIP_Label_6951d41b-6b8e-4636-984f-012bff14ba18_ContentBits">
    <vt:lpwstr>1</vt:lpwstr>
  </property>
</Properties>
</file>