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B62D" w14:textId="4FC151C2" w:rsidR="003D2DA3" w:rsidRPr="005D3851" w:rsidRDefault="003D2DA3" w:rsidP="003D2DA3">
      <w:pPr>
        <w:jc w:val="center"/>
        <w:rPr>
          <w:b/>
          <w:bCs/>
        </w:rPr>
      </w:pPr>
      <w:r w:rsidRPr="005D3851">
        <w:rPr>
          <w:b/>
          <w:bCs/>
        </w:rPr>
        <w:t>Venturing into the Variable Capital Company: How it works and what to expect</w:t>
      </w:r>
    </w:p>
    <w:p w14:paraId="466A63CE" w14:textId="73A921C8" w:rsidR="003D2DA3" w:rsidRDefault="003D2DA3" w:rsidP="003D2DA3">
      <w:pPr>
        <w:jc w:val="center"/>
      </w:pPr>
    </w:p>
    <w:p w14:paraId="3A81F70F" w14:textId="6F7D05CE" w:rsidR="003D2DA3" w:rsidRDefault="003D2DA3" w:rsidP="003D2DA3">
      <w:pPr>
        <w:jc w:val="center"/>
      </w:pPr>
      <w:r>
        <w:rPr>
          <w:rStyle w:val="FootnoteReference"/>
        </w:rPr>
        <w:footnoteReference w:customMarkFollows="1" w:id="1"/>
        <w:t>*</w:t>
      </w:r>
      <w:r w:rsidR="005D3851">
        <w:t>By Genevi Lim Xuan Ying</w:t>
      </w:r>
    </w:p>
    <w:p w14:paraId="6B71D506" w14:textId="77777777" w:rsidR="00473F94" w:rsidRPr="00275B24" w:rsidRDefault="00473F94" w:rsidP="00473F94">
      <w:pPr>
        <w:pStyle w:val="Hdg-1"/>
      </w:pPr>
      <w:r w:rsidRPr="00275B24">
        <w:t>INTRODUCTION</w:t>
      </w:r>
    </w:p>
    <w:p w14:paraId="610E9A9D" w14:textId="77777777" w:rsidR="00473F94" w:rsidRDefault="00473F94" w:rsidP="00473F94">
      <w:pPr>
        <w:pStyle w:val="Judg-1"/>
      </w:pPr>
      <w:r w:rsidRPr="00275B24">
        <w:t xml:space="preserve">Singapore has long been known as a thriving financial hub, serving as the Asia-Pacific base for many global banks due to its robust infrastructure ecosystem, stable political </w:t>
      </w:r>
      <w:proofErr w:type="gramStart"/>
      <w:r w:rsidRPr="00275B24">
        <w:t>climate</w:t>
      </w:r>
      <w:proofErr w:type="gramEnd"/>
      <w:r w:rsidRPr="00275B24">
        <w:t xml:space="preserve"> and stable investment friendly regime. In 2019, Singapore’s global assets under management amounted to US$89 trillion, increasing by 15% from the year before, showing the prominence of the fund management industry in Singapore.</w:t>
      </w:r>
      <w:r w:rsidRPr="00275B24">
        <w:rPr>
          <w:rStyle w:val="FootnoteReference"/>
        </w:rPr>
        <w:footnoteReference w:id="2"/>
      </w:r>
      <w:r w:rsidRPr="00275B24">
        <w:t xml:space="preserve"> Hence, the launch of the Variable Capital Companies Framework in January 2020 by the Monetary Authority of Singapore and the Accounting Corporate Regulatory Authority had been much anticipated due to the benefits it will bring to the industry.</w:t>
      </w:r>
    </w:p>
    <w:p w14:paraId="4EBCC57E" w14:textId="523B5F75" w:rsidR="00473F94" w:rsidRPr="00275B24" w:rsidRDefault="00473F94" w:rsidP="00473F94">
      <w:pPr>
        <w:pStyle w:val="Judg-1"/>
      </w:pPr>
      <w:r>
        <w:t>With that being said,</w:t>
      </w:r>
      <w:r w:rsidRPr="00275B24">
        <w:t xml:space="preserve"> what </w:t>
      </w:r>
      <w:r>
        <w:t xml:space="preserve">exactly </w:t>
      </w:r>
      <w:r w:rsidRPr="00275B24">
        <w:t>is a Variable Capital Company (“VCC”)? A VCC is a corporate entity tailored for use in investment funds.</w:t>
      </w:r>
      <w:r w:rsidRPr="00275B24">
        <w:rPr>
          <w:rStyle w:val="FootnoteReference"/>
        </w:rPr>
        <w:footnoteReference w:id="3"/>
      </w:r>
      <w:r w:rsidRPr="00275B24">
        <w:t xml:space="preserve"> However, unlike a company which is generally utilised to carry on business, the VCCs can only </w:t>
      </w:r>
      <w:r>
        <w:t xml:space="preserve">be </w:t>
      </w:r>
      <w:r w:rsidRPr="00275B24">
        <w:t>used in collective investment schemes.</w:t>
      </w:r>
      <w:r w:rsidRPr="00275B24">
        <w:rPr>
          <w:rStyle w:val="FootnoteReference"/>
        </w:rPr>
        <w:footnoteReference w:id="4"/>
      </w:r>
      <w:r w:rsidRPr="00275B24">
        <w:t xml:space="preserve"> As of March 2021, over 230 VCCs have been established in Singapore. The eager adoption of VCCs despite the current tumultuous COVI</w:t>
      </w:r>
      <w:r>
        <w:t>D-19</w:t>
      </w:r>
      <w:r w:rsidR="000F381D">
        <w:t xml:space="preserve"> </w:t>
      </w:r>
      <w:r w:rsidRPr="00275B24">
        <w:t>economy makes it clear that VCCs are something investors and fund managers in Singapore should be aware of.</w:t>
      </w:r>
    </w:p>
    <w:p w14:paraId="3AF14A24" w14:textId="77777777" w:rsidR="00473F94" w:rsidRPr="00275B24" w:rsidRDefault="00473F94" w:rsidP="00473F94">
      <w:pPr>
        <w:pStyle w:val="Hdg-1"/>
      </w:pPr>
      <w:r w:rsidRPr="00275B24">
        <w:t>DISCUSSION</w:t>
      </w:r>
    </w:p>
    <w:p w14:paraId="55B618F9" w14:textId="77777777" w:rsidR="00473F94" w:rsidRPr="00275B24" w:rsidRDefault="00473F94" w:rsidP="00473F94">
      <w:pPr>
        <w:pStyle w:val="Judg-1"/>
      </w:pPr>
      <w:r w:rsidRPr="00275B24">
        <w:t xml:space="preserve">To understand more about VCCs and why their inception is significant, we will first look into what a VCC offers, its benefits and some matters to consider before embarking on a VCC venture. </w:t>
      </w:r>
    </w:p>
    <w:p w14:paraId="45E8F6C0" w14:textId="77777777" w:rsidR="00473F94" w:rsidRPr="00275B24" w:rsidRDefault="00473F94" w:rsidP="00473F94">
      <w:pPr>
        <w:pStyle w:val="Hdg-2"/>
      </w:pPr>
      <w:r w:rsidRPr="00275B24">
        <w:t>The key features of a VCC and their significance</w:t>
      </w:r>
    </w:p>
    <w:p w14:paraId="154F0BFA" w14:textId="77777777" w:rsidR="00473F94" w:rsidRPr="00275B24" w:rsidRDefault="00473F94" w:rsidP="00473F94">
      <w:pPr>
        <w:pStyle w:val="Judg-1"/>
      </w:pPr>
      <w:r w:rsidRPr="00275B24">
        <w:t xml:space="preserve">The VCC has several features that make it a flexible tool. Unlike investment funds that are usually structured as companies, limited partnerships, or trusts, VCCs can be used as an umbrella entity and enjoy flexibility in the redemption of investments and payment of </w:t>
      </w:r>
      <w:r w:rsidRPr="00275B24">
        <w:lastRenderedPageBreak/>
        <w:t>dividends. Furthermore, the adoption of the VCC framework could also bring about economies of scale</w:t>
      </w:r>
      <w:r>
        <w:t xml:space="preserve">, leading to </w:t>
      </w:r>
      <w:r w:rsidRPr="00275B24">
        <w:t xml:space="preserve">time and cost-savings. </w:t>
      </w:r>
    </w:p>
    <w:p w14:paraId="148B42B3" w14:textId="77777777" w:rsidR="00473F94" w:rsidRPr="00275B24" w:rsidRDefault="00473F94" w:rsidP="00473F94">
      <w:pPr>
        <w:pStyle w:val="Hdg-3"/>
      </w:pPr>
      <w:r w:rsidRPr="00275B24">
        <w:t xml:space="preserve">VCCs as an umbrella entity </w:t>
      </w:r>
    </w:p>
    <w:p w14:paraId="3D8A8E71" w14:textId="77777777" w:rsidR="00473F94" w:rsidRPr="00275B24" w:rsidRDefault="00473F94" w:rsidP="00473F94">
      <w:pPr>
        <w:pStyle w:val="Judg-1"/>
      </w:pPr>
      <w:r w:rsidRPr="00275B24">
        <w:t>Firstly, one of the key tenets of the VCC framework is its ability to exist as an umbrella entity. VCCs can be used as either a stand-alone entity or as an umbrella entity. A stand</w:t>
      </w:r>
      <w:r>
        <w:t>-</w:t>
      </w:r>
      <w:r w:rsidRPr="00275B24">
        <w:t>alone fund is the simplest configuration structurally, as it is a single entity with only one investment strategy.</w:t>
      </w:r>
      <w:r w:rsidRPr="00275B24">
        <w:rPr>
          <w:rStyle w:val="FootnoteReference"/>
        </w:rPr>
        <w:footnoteReference w:id="5"/>
      </w:r>
      <w:r w:rsidRPr="00275B24">
        <w:t xml:space="preserve"> In contrast, an umbrella fund is also a single entity, but allows for multiple sub-funds under it such that each sub-fund is able to provide varying investment strategies or rights to its investors.</w:t>
      </w:r>
      <w:r w:rsidRPr="00275B24">
        <w:rPr>
          <w:rStyle w:val="FootnoteReference"/>
        </w:rPr>
        <w:footnoteReference w:id="6"/>
      </w:r>
      <w:r w:rsidRPr="00275B24">
        <w:t xml:space="preserve"> </w:t>
      </w:r>
    </w:p>
    <w:p w14:paraId="07874E7C" w14:textId="77777777" w:rsidR="00473F94" w:rsidRDefault="00473F94" w:rsidP="00473F94">
      <w:pPr>
        <w:pStyle w:val="Judg-1"/>
      </w:pPr>
      <w:r w:rsidRPr="00275B24">
        <w:t>With the assets and liabilities under an umbrella VCC legally segregated between each sub-fund,</w:t>
      </w:r>
      <w:r w:rsidRPr="00275B24">
        <w:rPr>
          <w:rStyle w:val="FootnoteReference"/>
        </w:rPr>
        <w:footnoteReference w:id="7"/>
      </w:r>
      <w:r w:rsidRPr="00275B24">
        <w:t xml:space="preserve"> investors would have greater freedom in the investment and allocation of their monies. Different investors have different risk profiles, which determines the type of securities and investments they are willing and able to make. Hence, it is only natural that investors choose to opt out or be excused from specific kinds of investments. This difference in preference could pose difficulties in stand-alone funds which are more rigid in nature and does not allow for the existence of separate pools of assets and liabilities.</w:t>
      </w:r>
      <w:r w:rsidRPr="00275B24">
        <w:rPr>
          <w:rStyle w:val="FootnoteReference"/>
        </w:rPr>
        <w:t xml:space="preserve"> </w:t>
      </w:r>
      <w:r w:rsidRPr="00275B24">
        <w:rPr>
          <w:rStyle w:val="FootnoteReference"/>
        </w:rPr>
        <w:footnoteReference w:id="8"/>
      </w:r>
      <w:r w:rsidRPr="00275B24">
        <w:t xml:space="preserve"> In comparison, an umbrella VCC allows investors to be excluded from the assets and liabilities they prefer</w:t>
      </w:r>
      <w:r>
        <w:t>.</w:t>
      </w:r>
      <w:r w:rsidRPr="00FE211D">
        <w:t xml:space="preserve"> </w:t>
      </w:r>
      <w:r w:rsidRPr="00275B24">
        <w:t xml:space="preserve">Fund managers would thus be able to organise investments according to investors’ objectives, allowing allocation of investment monies across different classes of assets in a way that accommodates investors’ preferences. </w:t>
      </w:r>
    </w:p>
    <w:p w14:paraId="6CDA9ED2" w14:textId="77777777" w:rsidR="00473F94" w:rsidRPr="00275B24" w:rsidRDefault="00473F94" w:rsidP="00473F94">
      <w:pPr>
        <w:pStyle w:val="NormalWeb"/>
        <w:spacing w:line="360" w:lineRule="auto"/>
        <w:jc w:val="both"/>
      </w:pPr>
      <w:r>
        <w:lastRenderedPageBreak/>
        <w:t xml:space="preserve">This also </w:t>
      </w:r>
      <w:r w:rsidRPr="00275B24">
        <w:t>ens</w:t>
      </w:r>
      <w:r>
        <w:t>ures</w:t>
      </w:r>
      <w:r w:rsidRPr="00275B24">
        <w:t xml:space="preserve"> greater protection </w:t>
      </w:r>
      <w:r>
        <w:t>for</w:t>
      </w:r>
      <w:r w:rsidRPr="00275B24">
        <w:t xml:space="preserve"> </w:t>
      </w:r>
      <w:r>
        <w:t xml:space="preserve">investors as </w:t>
      </w:r>
      <w:r w:rsidRPr="00275B24">
        <w:t xml:space="preserve">assets and liabilities are “ring-fenced” </w:t>
      </w:r>
      <w:r>
        <w:t xml:space="preserve">such </w:t>
      </w:r>
      <w:r w:rsidRPr="00275B24">
        <w:t xml:space="preserve">that </w:t>
      </w:r>
      <w:r>
        <w:t>if a</w:t>
      </w:r>
      <w:r w:rsidRPr="00275B24">
        <w:t xml:space="preserve"> sub-fund of a VCC </w:t>
      </w:r>
      <w:r>
        <w:t>is</w:t>
      </w:r>
      <w:r w:rsidRPr="00275B24">
        <w:t xml:space="preserve"> sued, the existence of the VCC’s other sub-funds would not be affected.</w:t>
      </w:r>
      <w:r w:rsidRPr="00275B24">
        <w:rPr>
          <w:rStyle w:val="FootnoteReference"/>
        </w:rPr>
        <w:footnoteReference w:id="9"/>
      </w:r>
      <w:r w:rsidRPr="00275B24">
        <w:t xml:space="preserve"> </w:t>
      </w:r>
    </w:p>
    <w:p w14:paraId="1A0BCBD6" w14:textId="77777777" w:rsidR="00473F94" w:rsidRPr="00275B24" w:rsidRDefault="00473F94" w:rsidP="00473F94">
      <w:pPr>
        <w:pStyle w:val="Hdg-3"/>
      </w:pPr>
      <w:r w:rsidRPr="00275B24">
        <w:t>Administrative flexibility</w:t>
      </w:r>
    </w:p>
    <w:p w14:paraId="519799CC" w14:textId="77777777" w:rsidR="00473F94" w:rsidRDefault="00473F94" w:rsidP="00473F94">
      <w:pPr>
        <w:pStyle w:val="Judg-1"/>
      </w:pPr>
      <w:r>
        <w:t>Another unique feature of the VCC</w:t>
      </w:r>
      <w:r w:rsidRPr="00275B24">
        <w:t xml:space="preserve"> is its flexible capital structure. Under the usual corporate vehicle</w:t>
      </w:r>
      <w:r>
        <w:t xml:space="preserve"> of companies</w:t>
      </w:r>
      <w:r w:rsidRPr="00275B24">
        <w:t>,</w:t>
      </w:r>
      <w:r>
        <w:t xml:space="preserve"> limited partnerships, and trusts,</w:t>
      </w:r>
      <w:r w:rsidRPr="00275B24">
        <w:t xml:space="preserve"> the issuance and redemption of shares is a troublesome affair as shareholder approval is required, and solvency statements have to be made by its directors.</w:t>
      </w:r>
      <w:r w:rsidRPr="00275B24">
        <w:rPr>
          <w:rStyle w:val="FootnoteReference"/>
        </w:rPr>
        <w:footnoteReference w:id="10"/>
      </w:r>
      <w:r w:rsidRPr="00275B24">
        <w:t xml:space="preserve"> However, VCCs are absent of this requirement. </w:t>
      </w:r>
    </w:p>
    <w:p w14:paraId="3FF404C5" w14:textId="77777777" w:rsidR="00473F94" w:rsidRPr="00275B24" w:rsidRDefault="00473F94" w:rsidP="00473F94">
      <w:pPr>
        <w:pStyle w:val="Judg-1"/>
      </w:pPr>
      <w:r>
        <w:t xml:space="preserve">The structure of an umbrella VCC also brings about economies of scale, leading to time and cost-savings. </w:t>
      </w:r>
      <w:r w:rsidRPr="00275B24">
        <w:t xml:space="preserve">The launch of new sub-funds within an existing umbrella VCC </w:t>
      </w:r>
      <w:r>
        <w:t xml:space="preserve">would </w:t>
      </w:r>
      <w:r w:rsidRPr="00275B24">
        <w:t xml:space="preserve">require less time compared to setting up a new stand-alone </w:t>
      </w:r>
      <w:r>
        <w:t>fund</w:t>
      </w:r>
      <w:r w:rsidRPr="00275B24">
        <w:t xml:space="preserve">, </w:t>
      </w:r>
      <w:r>
        <w:t xml:space="preserve">since sub-funds can share a board of directors and service providers such as the fund manager, custodian, </w:t>
      </w:r>
      <w:proofErr w:type="gramStart"/>
      <w:r>
        <w:t>auditor</w:t>
      </w:r>
      <w:proofErr w:type="gramEnd"/>
      <w:r>
        <w:t xml:space="preserve"> and administrative agent.</w:t>
      </w:r>
      <w:r w:rsidRPr="00275B24">
        <w:rPr>
          <w:rStyle w:val="FootnoteReference"/>
        </w:rPr>
        <w:footnoteReference w:id="11"/>
      </w:r>
      <w:r w:rsidRPr="00275B24">
        <w:t xml:space="preserve"> As such, thanks to the simplification of administrative processes and procurement, savings on time and expenditure </w:t>
      </w:r>
      <w:r>
        <w:t>can be enjoyed</w:t>
      </w:r>
      <w:r w:rsidRPr="00275B24">
        <w:t xml:space="preserve"> under the VCC framework.</w:t>
      </w:r>
    </w:p>
    <w:p w14:paraId="0F67D55B" w14:textId="77777777" w:rsidR="00473F94" w:rsidRPr="00275B24" w:rsidRDefault="00473F94" w:rsidP="00473F94">
      <w:pPr>
        <w:pStyle w:val="Hdg-2"/>
      </w:pPr>
      <w:r w:rsidRPr="00275B24">
        <w:t>Matters to take note of before embarking on a VCC venture</w:t>
      </w:r>
    </w:p>
    <w:p w14:paraId="1D70CB18" w14:textId="77777777" w:rsidR="00473F94" w:rsidRPr="00275B24" w:rsidRDefault="00473F94" w:rsidP="00473F94">
      <w:pPr>
        <w:pStyle w:val="Judg-1"/>
      </w:pPr>
      <w:r w:rsidRPr="00275B24">
        <w:t>The benefits offered by VCCs make them an attractive vehicle for investment funds. However, there are some points to be aware of before establishing a VCC.</w:t>
      </w:r>
    </w:p>
    <w:p w14:paraId="0B2C12B1" w14:textId="77777777" w:rsidR="00473F94" w:rsidRPr="00275B24" w:rsidRDefault="00473F94" w:rsidP="00473F94">
      <w:pPr>
        <w:pStyle w:val="Judg-1"/>
      </w:pPr>
      <w:r w:rsidRPr="00275B24">
        <w:t>Firstly, the VCC must at all times be managed by a licensed fund management company, an individual exempted under section 99(1)(</w:t>
      </w:r>
      <w:r w:rsidRPr="00275B24">
        <w:rPr>
          <w:i/>
          <w:iCs/>
        </w:rPr>
        <w:t>a</w:t>
      </w:r>
      <w:r w:rsidRPr="00275B24">
        <w:t>), (</w:t>
      </w:r>
      <w:r w:rsidRPr="00275B24">
        <w:rPr>
          <w:i/>
          <w:iCs/>
        </w:rPr>
        <w:t>b</w:t>
      </w:r>
      <w:r w:rsidRPr="00275B24">
        <w:t>), (</w:t>
      </w:r>
      <w:r w:rsidRPr="00275B24">
        <w:rPr>
          <w:i/>
          <w:iCs/>
        </w:rPr>
        <w:t>c</w:t>
      </w:r>
      <w:r w:rsidRPr="00275B24">
        <w:t>), or (</w:t>
      </w:r>
      <w:r w:rsidRPr="00275B24">
        <w:rPr>
          <w:i/>
          <w:iCs/>
        </w:rPr>
        <w:t>d</w:t>
      </w:r>
      <w:r w:rsidRPr="00275B24">
        <w:t>) of the Securities and Futures Act (“SFA”), or a holder of a capital markets services licence for fund management under the SFA.</w:t>
      </w:r>
      <w:r w:rsidRPr="00275B24">
        <w:rPr>
          <w:rStyle w:val="FootnoteReference"/>
        </w:rPr>
        <w:footnoteReference w:id="12"/>
      </w:r>
      <w:r w:rsidRPr="00275B24">
        <w:t xml:space="preserve"> This would include any bank, finance or insurance company that is licensed under their respective regulatory bodies.</w:t>
      </w:r>
      <w:r w:rsidRPr="00275B24">
        <w:rPr>
          <w:rStyle w:val="FootnoteReference"/>
        </w:rPr>
        <w:footnoteReference w:id="13"/>
      </w:r>
      <w:r w:rsidRPr="00275B24">
        <w:t xml:space="preserve"> </w:t>
      </w:r>
    </w:p>
    <w:p w14:paraId="34D5C1E8" w14:textId="77777777" w:rsidR="00473F94" w:rsidRPr="00275B24" w:rsidRDefault="00473F94" w:rsidP="00473F94">
      <w:pPr>
        <w:pStyle w:val="Judg-1"/>
      </w:pPr>
      <w:r w:rsidRPr="00275B24">
        <w:lastRenderedPageBreak/>
        <w:t>Secondly, under section 29 of the Variable Capital Company Act (“VCCA”), directors and officers of a VCC have the duty to ensure that there is no cross-contamination of liabilities between the sub-funds under the VCC.</w:t>
      </w:r>
      <w:r w:rsidRPr="00275B24">
        <w:rPr>
          <w:rStyle w:val="FootnoteReference"/>
        </w:rPr>
        <w:footnoteReference w:id="14"/>
      </w:r>
      <w:r w:rsidRPr="00275B24">
        <w:t xml:space="preserve"> This means that no assets of a particular sub-fund can be used to discharge any liability for another sub-fund under the VCC. However, the VCCA allows a VCC to allocate any assets and liabilities it holds </w:t>
      </w:r>
      <w:proofErr w:type="gramStart"/>
      <w:r w:rsidRPr="00275B24">
        <w:t>on</w:t>
      </w:r>
      <w:proofErr w:type="gramEnd"/>
      <w:r w:rsidRPr="00275B24">
        <w:t xml:space="preserve"> behalf of its sub-funds which are not attributable to any particular one</w:t>
      </w:r>
      <w:r>
        <w:t xml:space="preserve"> as long as it is </w:t>
      </w:r>
      <w:r w:rsidRPr="00275B24">
        <w:t xml:space="preserve">done in a manner that is fair to its shareholders.  </w:t>
      </w:r>
    </w:p>
    <w:p w14:paraId="077C9E34" w14:textId="77777777" w:rsidR="00473F94" w:rsidRPr="00275B24" w:rsidRDefault="00473F94" w:rsidP="00473F94">
      <w:pPr>
        <w:pStyle w:val="Judg-1"/>
      </w:pPr>
      <w:r w:rsidRPr="00275B24">
        <w:t>Thirdly, while one of the major benefits of the VCC is the ring-fencing of its sub-funds, investors must be aware that there are risks involved where there are assets located in another jurisdiction outside of Singapore. In its response to feedback on the proposed framework for VCCs, the MAS has warned of the risks of cross-cell contagion.</w:t>
      </w:r>
      <w:r w:rsidRPr="00275B24">
        <w:rPr>
          <w:rStyle w:val="FootnoteReference"/>
        </w:rPr>
        <w:footnoteReference w:id="15"/>
      </w:r>
      <w:r w:rsidRPr="00275B24">
        <w:t xml:space="preserve"> This is the risk that courts in a foreign jurisdiction would not uphold or give effect to the segregation of assets and liabilities that is provided for under the VCCA.</w:t>
      </w:r>
      <w:r w:rsidRPr="00275B24">
        <w:rPr>
          <w:rStyle w:val="FootnoteReference"/>
        </w:rPr>
        <w:footnoteReference w:id="16"/>
      </w:r>
      <w:r w:rsidRPr="00275B24">
        <w:t xml:space="preserve"> Contracts entered under foreign law may be subjected to proceedings in the foreign court, and the foreign jurisdictions where such sub-fund structures are not recognised could </w:t>
      </w:r>
      <w:r>
        <w:t xml:space="preserve">require </w:t>
      </w:r>
      <w:r w:rsidRPr="00275B24">
        <w:t>one sub-fund’s liabilities to be discharged out of the assets of another. While the MAS requires that VCCs must first have reasonable measures to mitigate cross-cell contagion risks where investing in assets in such foreign jurisdictions,</w:t>
      </w:r>
      <w:r w:rsidRPr="00275B24">
        <w:rPr>
          <w:rStyle w:val="FootnoteReference"/>
        </w:rPr>
        <w:footnoteReference w:id="17"/>
      </w:r>
      <w:r w:rsidRPr="00275B24">
        <w:t xml:space="preserve"> there is still a risk for investors.</w:t>
      </w:r>
    </w:p>
    <w:p w14:paraId="52CDD7DA" w14:textId="77777777" w:rsidR="00473F94" w:rsidRPr="00275B24" w:rsidRDefault="00473F94" w:rsidP="00473F94">
      <w:pPr>
        <w:pStyle w:val="Hdg-1"/>
      </w:pPr>
      <w:r w:rsidRPr="00275B24">
        <w:t>CONCLUSION</w:t>
      </w:r>
    </w:p>
    <w:p w14:paraId="3DDEB16B" w14:textId="77777777" w:rsidR="00473F94" w:rsidRPr="00275B24" w:rsidRDefault="00473F94" w:rsidP="00473F94">
      <w:pPr>
        <w:pStyle w:val="Judg-1"/>
      </w:pPr>
      <w:r w:rsidRPr="00275B24">
        <w:t>In conclusion, the introduction of VCCs into the Singapore financial landscape is exciting and holds a lot of potential for the enhancement of Singapore as an investment hub. With the many benefits that it bring</w:t>
      </w:r>
      <w:r>
        <w:t>s</w:t>
      </w:r>
      <w:r w:rsidRPr="00275B24">
        <w:t xml:space="preserve">, from greater freedom in choice of investment strategies to the more relaxed administrative restrictions, it is no wonder that investors and fund managers alike have shown keen interest in the adoption of VCCs. </w:t>
      </w:r>
    </w:p>
    <w:p w14:paraId="23492CF1" w14:textId="77777777" w:rsidR="00473F94" w:rsidRPr="00275B24" w:rsidRDefault="00473F94" w:rsidP="00473F94">
      <w:pPr>
        <w:pStyle w:val="Judg-1"/>
      </w:pPr>
      <w:r w:rsidRPr="00275B24">
        <w:lastRenderedPageBreak/>
        <w:t xml:space="preserve">However, </w:t>
      </w:r>
      <w:r>
        <w:t>those interested</w:t>
      </w:r>
      <w:r w:rsidRPr="00275B24">
        <w:t xml:space="preserve"> must properly educate themselves of the features of VCCs before jumping onto the bandwagon. The benefits offered could be a double</w:t>
      </w:r>
      <w:r>
        <w:t>-</w:t>
      </w:r>
      <w:r w:rsidRPr="00275B24">
        <w:t>edged sword, bringing about difficulties that are unique to the use of VCCs as an investment vehicle.</w:t>
      </w:r>
    </w:p>
    <w:p w14:paraId="494DCF93" w14:textId="77777777" w:rsidR="00473F94" w:rsidRPr="00275B24" w:rsidRDefault="00473F94" w:rsidP="00473F94">
      <w:pPr>
        <w:pStyle w:val="Judg-1"/>
      </w:pPr>
      <w:r w:rsidRPr="00275B24">
        <w:t xml:space="preserve">As such, before deciding on venturing into VCCs, investors must consider their options and investment objectives carefully. For investors looking into foreign assets and liabilities, it would be best for due diligence to first be done on the jurisdiction’s recognised fund structures to avoid exposure to cross-cell contagion. </w:t>
      </w:r>
    </w:p>
    <w:p w14:paraId="14DBC2A8" w14:textId="77777777" w:rsidR="00473F94" w:rsidRPr="00275B24" w:rsidRDefault="00473F94" w:rsidP="00473F94"/>
    <w:p w14:paraId="731901B1" w14:textId="7216A4CD" w:rsidR="000B3F62" w:rsidRPr="00473F94" w:rsidRDefault="000B3F62" w:rsidP="000B3F62">
      <w:pPr>
        <w:pStyle w:val="Judg-1"/>
        <w:rPr>
          <w:b/>
          <w:i/>
          <w:szCs w:val="24"/>
          <w:lang w:eastAsia="en-US"/>
        </w:rPr>
      </w:pPr>
    </w:p>
    <w:sectPr w:rsidR="000B3F62" w:rsidRPr="00473F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6C9B" w14:textId="77777777" w:rsidR="0011742C" w:rsidRDefault="0011742C" w:rsidP="00D00444">
      <w:r>
        <w:separator/>
      </w:r>
    </w:p>
  </w:endnote>
  <w:endnote w:type="continuationSeparator" w:id="0">
    <w:p w14:paraId="17FA4807" w14:textId="77777777" w:rsidR="0011742C" w:rsidRDefault="0011742C" w:rsidP="00D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6B48" w14:textId="77777777" w:rsidR="00BB2C52" w:rsidRDefault="00BB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88906"/>
      <w:docPartObj>
        <w:docPartGallery w:val="Page Numbers (Bottom of Page)"/>
        <w:docPartUnique/>
      </w:docPartObj>
    </w:sdtPr>
    <w:sdtEndPr>
      <w:rPr>
        <w:noProof/>
      </w:rPr>
    </w:sdtEndPr>
    <w:sdtContent>
      <w:p w14:paraId="24300DD1" w14:textId="60259008" w:rsidR="00BB2C52" w:rsidRDefault="00BB2C52">
        <w:pPr>
          <w:pStyle w:val="Footer"/>
          <w:jc w:val="center"/>
        </w:pPr>
        <w:r>
          <w:fldChar w:fldCharType="begin"/>
        </w:r>
        <w:r>
          <w:instrText xml:space="preserve"> PAGE   \* MERGEFORMAT </w:instrText>
        </w:r>
        <w:r>
          <w:fldChar w:fldCharType="separate"/>
        </w:r>
        <w:r w:rsidR="006702DB">
          <w:rPr>
            <w:noProof/>
          </w:rPr>
          <w:t>8</w:t>
        </w:r>
        <w:r>
          <w:rPr>
            <w:noProof/>
          </w:rPr>
          <w:fldChar w:fldCharType="end"/>
        </w:r>
      </w:p>
    </w:sdtContent>
  </w:sdt>
  <w:p w14:paraId="29103CD8" w14:textId="77777777" w:rsidR="00BB2C52" w:rsidRDefault="00BB2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0B55" w14:textId="77777777" w:rsidR="00BB2C52" w:rsidRDefault="00BB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9CDB" w14:textId="77777777" w:rsidR="0011742C" w:rsidRDefault="0011742C" w:rsidP="00D00444">
      <w:r>
        <w:separator/>
      </w:r>
    </w:p>
  </w:footnote>
  <w:footnote w:type="continuationSeparator" w:id="0">
    <w:p w14:paraId="18817FB4" w14:textId="77777777" w:rsidR="0011742C" w:rsidRDefault="0011742C" w:rsidP="00D00444">
      <w:r>
        <w:continuationSeparator/>
      </w:r>
    </w:p>
  </w:footnote>
  <w:footnote w:id="1">
    <w:p w14:paraId="3C8DDE1C" w14:textId="2298CABF" w:rsidR="003D2DA3" w:rsidRPr="0071177A" w:rsidRDefault="003D2DA3" w:rsidP="00D351C7">
      <w:pPr>
        <w:pStyle w:val="FootnoteText"/>
        <w:spacing w:after="0" w:line="240" w:lineRule="auto"/>
        <w:rPr>
          <w:lang w:val="en-SG"/>
        </w:rPr>
      </w:pPr>
      <w:r w:rsidRPr="0071177A">
        <w:rPr>
          <w:rStyle w:val="FootnoteReference"/>
        </w:rPr>
        <w:t>*</w:t>
      </w:r>
      <w:r w:rsidRPr="0071177A">
        <w:t xml:space="preserve"> </w:t>
      </w:r>
      <w:r w:rsidR="00D351C7" w:rsidRPr="00F46B5D">
        <w:t xml:space="preserve">Year 4 LL.B. student, Yong </w:t>
      </w:r>
      <w:proofErr w:type="spellStart"/>
      <w:r w:rsidR="00D351C7" w:rsidRPr="00F46B5D">
        <w:t>Pung</w:t>
      </w:r>
      <w:proofErr w:type="spellEnd"/>
      <w:r w:rsidR="00D351C7" w:rsidRPr="00F46B5D">
        <w:t xml:space="preserve"> How School of Law, Singapore Management University.</w:t>
      </w:r>
    </w:p>
  </w:footnote>
  <w:footnote w:id="2">
    <w:p w14:paraId="74131CF5" w14:textId="1A78070F" w:rsidR="00473F94" w:rsidRPr="0071177A" w:rsidRDefault="00473F94" w:rsidP="003D2DA3">
      <w:pPr>
        <w:pStyle w:val="FootnoteText"/>
        <w:spacing w:after="0" w:line="240" w:lineRule="auto"/>
        <w:rPr>
          <w:lang w:val="en-US"/>
        </w:rPr>
      </w:pPr>
      <w:r w:rsidRPr="0071177A">
        <w:rPr>
          <w:rStyle w:val="FootnoteReference"/>
        </w:rPr>
        <w:footnoteRef/>
      </w:r>
      <w:r w:rsidR="000B222B" w:rsidRPr="0071177A">
        <w:t xml:space="preserve"> </w:t>
      </w:r>
      <w:r w:rsidRPr="0071177A">
        <w:t xml:space="preserve">BCG Global Asset Management 2020, “Protect, Adapt, and Innovate” (May 2020). </w:t>
      </w:r>
      <w:hyperlink r:id="rId1" w:history="1">
        <w:r w:rsidRPr="0071177A">
          <w:rPr>
            <w:rStyle w:val="Hyperlink"/>
          </w:rPr>
          <w:t>https://www.bcg.com/publications/2020/global-asset-management-protect-adapt-innovate</w:t>
        </w:r>
      </w:hyperlink>
      <w:r w:rsidRPr="0071177A">
        <w:t xml:space="preserve"> </w:t>
      </w:r>
    </w:p>
  </w:footnote>
  <w:footnote w:id="3">
    <w:p w14:paraId="1C4ACB4E" w14:textId="77777777" w:rsidR="00473F94" w:rsidRPr="0071177A" w:rsidRDefault="00473F94" w:rsidP="003D2DA3">
      <w:pPr>
        <w:jc w:val="both"/>
        <w:rPr>
          <w:sz w:val="20"/>
        </w:rPr>
      </w:pPr>
      <w:r w:rsidRPr="0071177A">
        <w:rPr>
          <w:rStyle w:val="FootnoteReference"/>
        </w:rPr>
        <w:footnoteRef/>
      </w:r>
      <w:r w:rsidRPr="0071177A">
        <w:rPr>
          <w:sz w:val="20"/>
        </w:rPr>
        <w:t xml:space="preserve">  Accounting and Corporate Regulatory Authority Singapore website &lt;</w:t>
      </w:r>
      <w:hyperlink r:id="rId2" w:history="1">
        <w:r w:rsidRPr="0071177A">
          <w:rPr>
            <w:rStyle w:val="Hyperlink"/>
            <w:sz w:val="20"/>
          </w:rPr>
          <w:t>https://www.acra.gov.sg/how-to-guides/setting-up-a-vcc/introduction</w:t>
        </w:r>
      </w:hyperlink>
      <w:r w:rsidRPr="0071177A">
        <w:rPr>
          <w:sz w:val="20"/>
        </w:rPr>
        <w:t>&gt;. (Accessed 14 September 2021)</w:t>
      </w:r>
    </w:p>
  </w:footnote>
  <w:footnote w:id="4">
    <w:p w14:paraId="7C66432D"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 xml:space="preserve">Section 15 of the Variable Capital Companies Act 2018 (No. 44 of 2018). </w:t>
      </w:r>
    </w:p>
  </w:footnote>
  <w:footnote w:id="5">
    <w:p w14:paraId="7A2C1F5D" w14:textId="77777777" w:rsidR="00473F94" w:rsidRPr="0071177A" w:rsidRDefault="00473F94" w:rsidP="003D2DA3">
      <w:pPr>
        <w:pStyle w:val="FootnoteText"/>
        <w:spacing w:line="240" w:lineRule="auto"/>
        <w:rPr>
          <w:lang w:val="en-SG"/>
        </w:rPr>
      </w:pPr>
      <w:r w:rsidRPr="0071177A">
        <w:rPr>
          <w:rStyle w:val="FootnoteReference"/>
        </w:rPr>
        <w:footnoteRef/>
      </w:r>
      <w:r w:rsidRPr="0071177A">
        <w:t xml:space="preserve"> </w:t>
      </w:r>
      <w:r w:rsidRPr="0071177A">
        <w:rPr>
          <w:lang w:val="en-SG"/>
        </w:rPr>
        <w:t xml:space="preserve">Henri </w:t>
      </w:r>
      <w:proofErr w:type="spellStart"/>
      <w:proofErr w:type="gramStart"/>
      <w:r w:rsidRPr="0071177A">
        <w:rPr>
          <w:lang w:val="en-SG"/>
        </w:rPr>
        <w:t>Arslanian</w:t>
      </w:r>
      <w:proofErr w:type="spellEnd"/>
      <w:r w:rsidRPr="0071177A">
        <w:rPr>
          <w:lang w:val="en-SG"/>
        </w:rPr>
        <w:t>,“</w:t>
      </w:r>
      <w:proofErr w:type="gramEnd"/>
      <w:r w:rsidRPr="0071177A">
        <w:rPr>
          <w:lang w:val="en-SG"/>
        </w:rPr>
        <w:t>Fund Structuring.” </w:t>
      </w:r>
      <w:r w:rsidRPr="0071177A">
        <w:rPr>
          <w:i/>
          <w:iCs/>
          <w:lang w:val="en-SG"/>
        </w:rPr>
        <w:t>Entrepreneurship in Finance</w:t>
      </w:r>
      <w:r w:rsidRPr="0071177A">
        <w:rPr>
          <w:lang w:val="en-SG"/>
        </w:rPr>
        <w:t>, Springer International Publishing, 2016, pp. 85–110, at p 95.</w:t>
      </w:r>
    </w:p>
  </w:footnote>
  <w:footnote w:id="6">
    <w:p w14:paraId="09BC231B"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Financial Conduct Authority, “Fund structuring options”, &lt;</w:t>
      </w:r>
      <w:hyperlink r:id="rId3" w:history="1">
        <w:r w:rsidRPr="0071177A">
          <w:rPr>
            <w:rStyle w:val="Hyperlink"/>
            <w:lang w:val="en-US"/>
          </w:rPr>
          <w:t>https://www.fca.org.uk/publication/documents/fund-structuring-options.pdf</w:t>
        </w:r>
      </w:hyperlink>
      <w:r w:rsidRPr="0071177A">
        <w:rPr>
          <w:lang w:val="en-US"/>
        </w:rPr>
        <w:t xml:space="preserve">&gt;. (Accessed 18 September 2021) </w:t>
      </w:r>
    </w:p>
  </w:footnote>
  <w:footnote w:id="7">
    <w:p w14:paraId="119B8114" w14:textId="77777777" w:rsidR="00473F94" w:rsidRPr="0071177A" w:rsidRDefault="00473F94" w:rsidP="003D2DA3">
      <w:pPr>
        <w:jc w:val="both"/>
        <w:rPr>
          <w:sz w:val="20"/>
        </w:rPr>
      </w:pPr>
      <w:r w:rsidRPr="0071177A">
        <w:rPr>
          <w:rStyle w:val="FootnoteReference"/>
        </w:rPr>
        <w:footnoteRef/>
      </w:r>
      <w:r w:rsidRPr="0071177A">
        <w:rPr>
          <w:sz w:val="20"/>
        </w:rPr>
        <w:t xml:space="preserve"> Accounting and Corporate Regulatory Authority Singapore website &lt;</w:t>
      </w:r>
      <w:hyperlink r:id="rId4" w:history="1">
        <w:r w:rsidRPr="0071177A">
          <w:rPr>
            <w:rStyle w:val="Hyperlink"/>
            <w:sz w:val="20"/>
          </w:rPr>
          <w:t>https://www.acra.gov.sg/how-to-guides/setting-up-a-vcc/introduction</w:t>
        </w:r>
      </w:hyperlink>
      <w:r w:rsidRPr="0071177A">
        <w:rPr>
          <w:sz w:val="20"/>
        </w:rPr>
        <w:t>&gt;. (Accessed 14 September 2021)</w:t>
      </w:r>
    </w:p>
  </w:footnote>
  <w:footnote w:id="8">
    <w:p w14:paraId="15B38D92"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Jerry Koh and Jonathan Lee, “Singapore Variable Capital Companies: The Many Uses and Benefits.” The Journal of Investment Compliance, vol. 22, no. 3, Emerald Publishing Limited, 1AD, pp. 227–231, at p 230.</w:t>
      </w:r>
    </w:p>
  </w:footnote>
  <w:footnote w:id="9">
    <w:p w14:paraId="244AE173"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Section 32(1) </w:t>
      </w:r>
      <w:r w:rsidRPr="0071177A">
        <w:rPr>
          <w:lang w:val="en-US"/>
        </w:rPr>
        <w:t>of the Variable Capital Companies Act 2018 (No. 44 of 2018).</w:t>
      </w:r>
    </w:p>
  </w:footnote>
  <w:footnote w:id="10">
    <w:p w14:paraId="67B7B039"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Section 7A of the Companies Act.</w:t>
      </w:r>
    </w:p>
  </w:footnote>
  <w:footnote w:id="11">
    <w:p w14:paraId="0CF0646F"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i/>
          <w:iCs/>
        </w:rPr>
        <w:t>Variable Capital Companies Bill (2018) - Second Reading Speech</w:t>
      </w:r>
      <w:r w:rsidRPr="0071177A">
        <w:t xml:space="preserve"> (1 October 2018</w:t>
      </w:r>
      <w:proofErr w:type="gramStart"/>
      <w:r w:rsidRPr="0071177A">
        <w:t>),</w:t>
      </w:r>
      <w:proofErr w:type="spellStart"/>
      <w:r w:rsidRPr="0071177A">
        <w:t>Indranee</w:t>
      </w:r>
      <w:proofErr w:type="spellEnd"/>
      <w:proofErr w:type="gramEnd"/>
      <w:r w:rsidRPr="0071177A">
        <w:t xml:space="preserve"> Rajah, Second Minister for Finance.</w:t>
      </w:r>
    </w:p>
  </w:footnote>
  <w:footnote w:id="12">
    <w:p w14:paraId="7D49B51C"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Section 46 of the Variable Capital Companies Act 2018 (No. 44 of 2018).</w:t>
      </w:r>
    </w:p>
  </w:footnote>
  <w:footnote w:id="13">
    <w:p w14:paraId="0FB5FB9F" w14:textId="77777777" w:rsidR="00473F94" w:rsidRPr="0071177A" w:rsidRDefault="00473F94" w:rsidP="003D2DA3">
      <w:pPr>
        <w:pStyle w:val="FootnoteText"/>
        <w:spacing w:line="240" w:lineRule="auto"/>
        <w:rPr>
          <w:lang w:val="en-SG"/>
        </w:rPr>
      </w:pPr>
      <w:r w:rsidRPr="0071177A">
        <w:rPr>
          <w:rStyle w:val="FootnoteReference"/>
        </w:rPr>
        <w:footnoteRef/>
      </w:r>
      <w:r w:rsidRPr="0071177A">
        <w:t xml:space="preserve"> Section 99(1)(</w:t>
      </w:r>
      <w:r w:rsidRPr="0071177A">
        <w:rPr>
          <w:i/>
          <w:iCs/>
        </w:rPr>
        <w:t>a</w:t>
      </w:r>
      <w:r w:rsidRPr="0071177A">
        <w:t>), (</w:t>
      </w:r>
      <w:r w:rsidRPr="0071177A">
        <w:rPr>
          <w:i/>
          <w:iCs/>
        </w:rPr>
        <w:t>b</w:t>
      </w:r>
      <w:r w:rsidRPr="0071177A">
        <w:t>), (</w:t>
      </w:r>
      <w:r w:rsidRPr="0071177A">
        <w:rPr>
          <w:i/>
          <w:iCs/>
        </w:rPr>
        <w:t>c</w:t>
      </w:r>
      <w:r w:rsidRPr="0071177A">
        <w:t>), and (</w:t>
      </w:r>
      <w:r w:rsidRPr="0071177A">
        <w:rPr>
          <w:i/>
          <w:iCs/>
        </w:rPr>
        <w:t>d</w:t>
      </w:r>
      <w:r w:rsidRPr="0071177A">
        <w:t xml:space="preserve">) of the Securities and Futures Act </w:t>
      </w:r>
      <w:r w:rsidRPr="0071177A">
        <w:rPr>
          <w:lang w:val="en-SG"/>
        </w:rPr>
        <w:t>(Chapter 289)</w:t>
      </w:r>
      <w:r w:rsidRPr="0071177A">
        <w:t>.</w:t>
      </w:r>
    </w:p>
  </w:footnote>
  <w:footnote w:id="14">
    <w:p w14:paraId="5382AD65"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Section 29 of the Variable Capital Companies Act 2018 (No. 44 of 2018).</w:t>
      </w:r>
    </w:p>
  </w:footnote>
  <w:footnote w:id="15">
    <w:p w14:paraId="5742E317" w14:textId="77777777" w:rsidR="00473F94" w:rsidRPr="0071177A" w:rsidRDefault="00473F94" w:rsidP="003D2DA3">
      <w:pPr>
        <w:pStyle w:val="FootnoteText"/>
        <w:spacing w:line="240" w:lineRule="auto"/>
        <w:rPr>
          <w:lang w:val="en-SG"/>
        </w:rPr>
      </w:pPr>
      <w:r w:rsidRPr="0071177A">
        <w:rPr>
          <w:rStyle w:val="FootnoteReference"/>
        </w:rPr>
        <w:footnoteRef/>
      </w:r>
      <w:r w:rsidRPr="0071177A">
        <w:t xml:space="preserve"> Monetary Authority of Singapore, </w:t>
      </w:r>
      <w:r w:rsidRPr="0071177A">
        <w:rPr>
          <w:lang w:val="en-SG"/>
        </w:rPr>
        <w:t xml:space="preserve">Response to Feedback Received on The Proposed Framework for Singapore Variable Capital Companies, (10 September 2018), at p 8. </w:t>
      </w:r>
    </w:p>
  </w:footnote>
  <w:footnote w:id="16">
    <w:p w14:paraId="3C0EDCAC" w14:textId="77777777" w:rsidR="00473F94" w:rsidRPr="0071177A" w:rsidRDefault="00473F94" w:rsidP="003D2DA3">
      <w:pPr>
        <w:pStyle w:val="FootnoteText"/>
        <w:spacing w:line="240" w:lineRule="auto"/>
      </w:pPr>
      <w:r w:rsidRPr="0071177A">
        <w:rPr>
          <w:rStyle w:val="FootnoteReference"/>
        </w:rPr>
        <w:footnoteRef/>
      </w:r>
      <w:r w:rsidRPr="0071177A">
        <w:t xml:space="preserve">  Liew Kai Zee and Clement Khoo, Financing a Variable Capital Company, </w:t>
      </w:r>
      <w:proofErr w:type="spellStart"/>
      <w:r w:rsidRPr="0071177A">
        <w:t>Lexology</w:t>
      </w:r>
      <w:proofErr w:type="spellEnd"/>
      <w:r w:rsidRPr="0071177A">
        <w:t xml:space="preserve">, 31 January 2020.  </w:t>
      </w:r>
    </w:p>
  </w:footnote>
  <w:footnote w:id="17">
    <w:p w14:paraId="21347ADE" w14:textId="77777777" w:rsidR="00473F94" w:rsidRPr="0071177A" w:rsidRDefault="00473F94" w:rsidP="003D2DA3">
      <w:pPr>
        <w:pStyle w:val="FootnoteText"/>
        <w:spacing w:line="240" w:lineRule="auto"/>
        <w:rPr>
          <w:lang w:val="en-US"/>
        </w:rPr>
      </w:pPr>
      <w:r w:rsidRPr="0071177A">
        <w:rPr>
          <w:rStyle w:val="FootnoteReference"/>
        </w:rPr>
        <w:footnoteRef/>
      </w:r>
      <w:r w:rsidRPr="0071177A">
        <w:t xml:space="preserve"> </w:t>
      </w:r>
      <w:r w:rsidRPr="0071177A">
        <w:rPr>
          <w:lang w:val="en-US"/>
        </w:rPr>
        <w:t xml:space="preserve">Monetary Authority of Singapore, Code on Collective Investment Schemes.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1BF" w14:textId="77777777" w:rsidR="00BB2C52" w:rsidRDefault="00BB2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CAC2" w14:textId="77777777" w:rsidR="00BB2C52" w:rsidRPr="00BB2C52" w:rsidRDefault="00BB2C52">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892" w14:textId="77777777" w:rsidR="00BB2C52" w:rsidRDefault="00BB2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2FF"/>
    <w:multiLevelType w:val="hybridMultilevel"/>
    <w:tmpl w:val="CBFC380C"/>
    <w:lvl w:ilvl="0" w:tplc="92240692">
      <w:start w:val="1"/>
      <w:numFmt w:val="upperRoman"/>
      <w:pStyle w:val="Hdg-1"/>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C5B26DC"/>
    <w:multiLevelType w:val="hybridMultilevel"/>
    <w:tmpl w:val="9878D63C"/>
    <w:lvl w:ilvl="0" w:tplc="57F006C6">
      <w:start w:val="1"/>
      <w:numFmt w:val="lowerLetter"/>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C0759"/>
    <w:multiLevelType w:val="hybridMultilevel"/>
    <w:tmpl w:val="ADB473F8"/>
    <w:lvl w:ilvl="0" w:tplc="E19E04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833EC6"/>
    <w:multiLevelType w:val="hybridMultilevel"/>
    <w:tmpl w:val="0BF405FA"/>
    <w:lvl w:ilvl="0" w:tplc="813A2AAC">
      <w:start w:val="1"/>
      <w:numFmt w:val="lowerRoman"/>
      <w:pStyle w:val="Hdg-3"/>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66A3D66"/>
    <w:multiLevelType w:val="hybridMultilevel"/>
    <w:tmpl w:val="9C54C502"/>
    <w:lvl w:ilvl="0" w:tplc="67BCEF62">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16D4C"/>
    <w:multiLevelType w:val="hybridMultilevel"/>
    <w:tmpl w:val="F24E33F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CC86B5C"/>
    <w:multiLevelType w:val="hybridMultilevel"/>
    <w:tmpl w:val="B742FFB2"/>
    <w:lvl w:ilvl="0" w:tplc="E7BA878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F541D76"/>
    <w:multiLevelType w:val="hybridMultilevel"/>
    <w:tmpl w:val="40DED01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8627122"/>
    <w:multiLevelType w:val="multilevel"/>
    <w:tmpl w:val="713C8C2E"/>
    <w:lvl w:ilvl="0">
      <w:start w:val="1"/>
      <w:numFmt w:val="decimal"/>
      <w:lvlText w:val="%1"/>
      <w:lvlJc w:val="left"/>
      <w:pPr>
        <w:ind w:left="0" w:firstLine="0"/>
      </w:pPr>
      <w:rPr>
        <w:rFonts w:hint="default"/>
        <w:b w:val="0"/>
        <w:i w:val="0"/>
        <w:color w:val="000000" w:themeColor="text1"/>
      </w:rPr>
    </w:lvl>
    <w:lvl w:ilvl="1">
      <w:start w:val="1"/>
      <w:numFmt w:val="lowerLetter"/>
      <w:pStyle w:val="Judg-2"/>
      <w:lvlText w:val="(%2)"/>
      <w:lvlJc w:val="left"/>
      <w:pPr>
        <w:ind w:left="720" w:firstLine="0"/>
      </w:pPr>
      <w:rPr>
        <w:rFonts w:hint="default"/>
      </w:rPr>
    </w:lvl>
    <w:lvl w:ilvl="2">
      <w:start w:val="1"/>
      <w:numFmt w:val="lowerRoman"/>
      <w:pStyle w:val="Judg-3"/>
      <w:lvlText w:val="(%3)"/>
      <w:lvlJc w:val="left"/>
      <w:pPr>
        <w:ind w:left="1440" w:firstLine="0"/>
      </w:pPr>
      <w:rPr>
        <w:rFonts w:hint="default"/>
      </w:rPr>
    </w:lvl>
    <w:lvl w:ilvl="3">
      <w:start w:val="1"/>
      <w:numFmt w:val="upperLetter"/>
      <w:pStyle w:val="Judg-4"/>
      <w:lvlText w:val="(%4)"/>
      <w:lvlJc w:val="left"/>
      <w:pPr>
        <w:ind w:left="2160" w:firstLine="0"/>
      </w:pPr>
      <w:rPr>
        <w:rFonts w:hint="default"/>
      </w:rPr>
    </w:lvl>
    <w:lvl w:ilvl="4">
      <w:start w:val="1"/>
      <w:numFmt w:val="upperRoman"/>
      <w:pStyle w:val="Judg-5"/>
      <w:lvlText w:val="(%5)"/>
      <w:lvlJc w:val="left"/>
      <w:pPr>
        <w:ind w:left="288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9961B8F"/>
    <w:multiLevelType w:val="hybridMultilevel"/>
    <w:tmpl w:val="575E485C"/>
    <w:lvl w:ilvl="0" w:tplc="D74E54EC">
      <w:start w:val="1"/>
      <w:numFmt w:val="upperLetter"/>
      <w:lvlText w:val="%1."/>
      <w:lvlJc w:val="left"/>
      <w:pPr>
        <w:ind w:left="720" w:hanging="360"/>
      </w:pPr>
      <w:rPr>
        <w:rFonts w:hint="default"/>
      </w:rPr>
    </w:lvl>
    <w:lvl w:ilvl="1" w:tplc="F1AA9246">
      <w:start w:val="1"/>
      <w:numFmt w:val="lowerRoman"/>
      <w:lvlText w:val="%2."/>
      <w:lvlJc w:val="left"/>
      <w:pPr>
        <w:ind w:left="1440" w:hanging="360"/>
      </w:pPr>
      <w:rPr>
        <w:rFonts w:hint="default"/>
      </w:rPr>
    </w:lvl>
    <w:lvl w:ilvl="2" w:tplc="EBA6E69C">
      <w:start w:val="1"/>
      <w:numFmt w:val="lowerRoman"/>
      <w:lvlText w:val="%3."/>
      <w:lvlJc w:val="left"/>
      <w:pPr>
        <w:ind w:left="2160" w:hanging="18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1ED1096"/>
    <w:multiLevelType w:val="hybridMultilevel"/>
    <w:tmpl w:val="A8F8BFA6"/>
    <w:lvl w:ilvl="0" w:tplc="C5108C5E">
      <w:start w:val="1"/>
      <w:numFmt w:val="upperLetter"/>
      <w:pStyle w:val="Hdg-2"/>
      <w:lvlText w:val="%1."/>
      <w:lvlJc w:val="left"/>
      <w:pPr>
        <w:ind w:left="720" w:hanging="360"/>
      </w:pPr>
      <w:rPr>
        <w:rFonts w:hint="default"/>
      </w:rPr>
    </w:lvl>
    <w:lvl w:ilvl="1" w:tplc="B7D8687C">
      <w:start w:val="1"/>
      <w:numFmt w:val="lowerRoman"/>
      <w:pStyle w:val="Heading1"/>
      <w:lvlText w:val="%2."/>
      <w:lvlJc w:val="left"/>
      <w:pPr>
        <w:ind w:left="1440" w:hanging="360"/>
      </w:pPr>
      <w:rPr>
        <w:rFonts w:hint="default"/>
      </w:rPr>
    </w:lvl>
    <w:lvl w:ilvl="2" w:tplc="EBA6E69C">
      <w:start w:val="1"/>
      <w:numFmt w:val="lowerRoman"/>
      <w:lvlText w:val="%3."/>
      <w:lvlJc w:val="left"/>
      <w:pPr>
        <w:ind w:left="2160" w:hanging="18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8DE2DBE"/>
    <w:multiLevelType w:val="hybridMultilevel"/>
    <w:tmpl w:val="9BCA2F66"/>
    <w:lvl w:ilvl="0" w:tplc="FCC2337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61840281">
    <w:abstractNumId w:val="8"/>
  </w:num>
  <w:num w:numId="2" w16cid:durableId="1271013874">
    <w:abstractNumId w:val="7"/>
  </w:num>
  <w:num w:numId="3" w16cid:durableId="641010187">
    <w:abstractNumId w:val="6"/>
  </w:num>
  <w:num w:numId="4" w16cid:durableId="395131309">
    <w:abstractNumId w:val="5"/>
  </w:num>
  <w:num w:numId="5" w16cid:durableId="578834778">
    <w:abstractNumId w:val="0"/>
  </w:num>
  <w:num w:numId="6" w16cid:durableId="1103573414">
    <w:abstractNumId w:val="9"/>
  </w:num>
  <w:num w:numId="7" w16cid:durableId="28723198">
    <w:abstractNumId w:val="10"/>
  </w:num>
  <w:num w:numId="8" w16cid:durableId="1527519332">
    <w:abstractNumId w:val="3"/>
  </w:num>
  <w:num w:numId="9" w16cid:durableId="2103064951">
    <w:abstractNumId w:val="11"/>
  </w:num>
  <w:num w:numId="10" w16cid:durableId="1906406580">
    <w:abstractNumId w:val="2"/>
  </w:num>
  <w:num w:numId="11" w16cid:durableId="667632811">
    <w:abstractNumId w:val="1"/>
  </w:num>
  <w:num w:numId="12" w16cid:durableId="17999517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444"/>
    <w:rsid w:val="00013A76"/>
    <w:rsid w:val="00015DA0"/>
    <w:rsid w:val="00024E5D"/>
    <w:rsid w:val="000455F5"/>
    <w:rsid w:val="000458CC"/>
    <w:rsid w:val="000768B0"/>
    <w:rsid w:val="00086753"/>
    <w:rsid w:val="000867BF"/>
    <w:rsid w:val="00087356"/>
    <w:rsid w:val="00097430"/>
    <w:rsid w:val="000A3B4F"/>
    <w:rsid w:val="000B12A0"/>
    <w:rsid w:val="000B222B"/>
    <w:rsid w:val="000B3F62"/>
    <w:rsid w:val="000B70C9"/>
    <w:rsid w:val="000E6DAA"/>
    <w:rsid w:val="000F381D"/>
    <w:rsid w:val="00102EE8"/>
    <w:rsid w:val="0010369C"/>
    <w:rsid w:val="0011742C"/>
    <w:rsid w:val="00123383"/>
    <w:rsid w:val="001278E4"/>
    <w:rsid w:val="00127C48"/>
    <w:rsid w:val="001328FE"/>
    <w:rsid w:val="00144CC5"/>
    <w:rsid w:val="00151C9B"/>
    <w:rsid w:val="00187A30"/>
    <w:rsid w:val="001A1F4C"/>
    <w:rsid w:val="001E0841"/>
    <w:rsid w:val="001F32BF"/>
    <w:rsid w:val="001F408A"/>
    <w:rsid w:val="002213C6"/>
    <w:rsid w:val="0023206D"/>
    <w:rsid w:val="00283ACA"/>
    <w:rsid w:val="00283CDD"/>
    <w:rsid w:val="002B4801"/>
    <w:rsid w:val="002E48F0"/>
    <w:rsid w:val="002F34DC"/>
    <w:rsid w:val="00305F23"/>
    <w:rsid w:val="00315788"/>
    <w:rsid w:val="00316544"/>
    <w:rsid w:val="003251DE"/>
    <w:rsid w:val="00325FDA"/>
    <w:rsid w:val="003309A0"/>
    <w:rsid w:val="0033360E"/>
    <w:rsid w:val="00347398"/>
    <w:rsid w:val="003478A0"/>
    <w:rsid w:val="00351F28"/>
    <w:rsid w:val="003A5CB3"/>
    <w:rsid w:val="003B1A0F"/>
    <w:rsid w:val="003B7D3D"/>
    <w:rsid w:val="003D2DA3"/>
    <w:rsid w:val="003D66CF"/>
    <w:rsid w:val="003E5B6A"/>
    <w:rsid w:val="003F07EC"/>
    <w:rsid w:val="003F1749"/>
    <w:rsid w:val="003F51C1"/>
    <w:rsid w:val="004101AC"/>
    <w:rsid w:val="004238B9"/>
    <w:rsid w:val="0043486B"/>
    <w:rsid w:val="00447CD0"/>
    <w:rsid w:val="0046017D"/>
    <w:rsid w:val="00473F94"/>
    <w:rsid w:val="004A1EBA"/>
    <w:rsid w:val="004A2499"/>
    <w:rsid w:val="004C303D"/>
    <w:rsid w:val="004C3B19"/>
    <w:rsid w:val="004D1433"/>
    <w:rsid w:val="004D3FF1"/>
    <w:rsid w:val="004E4951"/>
    <w:rsid w:val="004F6BA3"/>
    <w:rsid w:val="00512979"/>
    <w:rsid w:val="005231F3"/>
    <w:rsid w:val="0052324D"/>
    <w:rsid w:val="005254D8"/>
    <w:rsid w:val="00534ED3"/>
    <w:rsid w:val="00563D93"/>
    <w:rsid w:val="00570A18"/>
    <w:rsid w:val="00582FAC"/>
    <w:rsid w:val="00596A95"/>
    <w:rsid w:val="005B43EB"/>
    <w:rsid w:val="005C781F"/>
    <w:rsid w:val="005D3851"/>
    <w:rsid w:val="005D7677"/>
    <w:rsid w:val="005D7D64"/>
    <w:rsid w:val="005E5C1A"/>
    <w:rsid w:val="005F3F5C"/>
    <w:rsid w:val="00615C32"/>
    <w:rsid w:val="00624A75"/>
    <w:rsid w:val="00627AF8"/>
    <w:rsid w:val="00634669"/>
    <w:rsid w:val="0064152D"/>
    <w:rsid w:val="006621ED"/>
    <w:rsid w:val="006702DB"/>
    <w:rsid w:val="006802F2"/>
    <w:rsid w:val="006A116C"/>
    <w:rsid w:val="006A2138"/>
    <w:rsid w:val="006A43B2"/>
    <w:rsid w:val="006B2D90"/>
    <w:rsid w:val="006B4C2C"/>
    <w:rsid w:val="006C3DEA"/>
    <w:rsid w:val="006E0E66"/>
    <w:rsid w:val="00702E8D"/>
    <w:rsid w:val="007075BB"/>
    <w:rsid w:val="0071177A"/>
    <w:rsid w:val="00717F6D"/>
    <w:rsid w:val="00725BA4"/>
    <w:rsid w:val="00725F55"/>
    <w:rsid w:val="00736C6D"/>
    <w:rsid w:val="00744DED"/>
    <w:rsid w:val="0077490A"/>
    <w:rsid w:val="00776881"/>
    <w:rsid w:val="00783A80"/>
    <w:rsid w:val="00787D5A"/>
    <w:rsid w:val="007B5A64"/>
    <w:rsid w:val="007B5DB2"/>
    <w:rsid w:val="007B6EDA"/>
    <w:rsid w:val="007C3F54"/>
    <w:rsid w:val="007C7D8A"/>
    <w:rsid w:val="00804AD9"/>
    <w:rsid w:val="00876296"/>
    <w:rsid w:val="008B244E"/>
    <w:rsid w:val="008C1757"/>
    <w:rsid w:val="008D5674"/>
    <w:rsid w:val="008D611A"/>
    <w:rsid w:val="008E5B38"/>
    <w:rsid w:val="008E792C"/>
    <w:rsid w:val="009032E0"/>
    <w:rsid w:val="00913463"/>
    <w:rsid w:val="00916731"/>
    <w:rsid w:val="009175C9"/>
    <w:rsid w:val="0092266F"/>
    <w:rsid w:val="00945C79"/>
    <w:rsid w:val="009618F8"/>
    <w:rsid w:val="009A4094"/>
    <w:rsid w:val="009C0D82"/>
    <w:rsid w:val="009E2037"/>
    <w:rsid w:val="00A34162"/>
    <w:rsid w:val="00A40EF2"/>
    <w:rsid w:val="00A42D9D"/>
    <w:rsid w:val="00A53239"/>
    <w:rsid w:val="00A60CE7"/>
    <w:rsid w:val="00A615BB"/>
    <w:rsid w:val="00A65E32"/>
    <w:rsid w:val="00A82911"/>
    <w:rsid w:val="00AA2139"/>
    <w:rsid w:val="00AB09DE"/>
    <w:rsid w:val="00AD347E"/>
    <w:rsid w:val="00AD4416"/>
    <w:rsid w:val="00AE3F7A"/>
    <w:rsid w:val="00AE78AA"/>
    <w:rsid w:val="00AF25EC"/>
    <w:rsid w:val="00AF6C15"/>
    <w:rsid w:val="00B22DA0"/>
    <w:rsid w:val="00B30B51"/>
    <w:rsid w:val="00B31008"/>
    <w:rsid w:val="00B335F9"/>
    <w:rsid w:val="00B40332"/>
    <w:rsid w:val="00B513BC"/>
    <w:rsid w:val="00B51523"/>
    <w:rsid w:val="00B60B31"/>
    <w:rsid w:val="00B864AB"/>
    <w:rsid w:val="00BB2C52"/>
    <w:rsid w:val="00BD2649"/>
    <w:rsid w:val="00BD69F3"/>
    <w:rsid w:val="00BE07D4"/>
    <w:rsid w:val="00BF6025"/>
    <w:rsid w:val="00C002D2"/>
    <w:rsid w:val="00C2533C"/>
    <w:rsid w:val="00C357F6"/>
    <w:rsid w:val="00C87329"/>
    <w:rsid w:val="00C90C53"/>
    <w:rsid w:val="00CA48F7"/>
    <w:rsid w:val="00CC34C1"/>
    <w:rsid w:val="00CF0279"/>
    <w:rsid w:val="00CF57D5"/>
    <w:rsid w:val="00CF674A"/>
    <w:rsid w:val="00D00444"/>
    <w:rsid w:val="00D0284E"/>
    <w:rsid w:val="00D10B11"/>
    <w:rsid w:val="00D25C12"/>
    <w:rsid w:val="00D3455A"/>
    <w:rsid w:val="00D351C7"/>
    <w:rsid w:val="00D57776"/>
    <w:rsid w:val="00D57BF9"/>
    <w:rsid w:val="00D66C40"/>
    <w:rsid w:val="00D96243"/>
    <w:rsid w:val="00DA5658"/>
    <w:rsid w:val="00DC075E"/>
    <w:rsid w:val="00DD564A"/>
    <w:rsid w:val="00DF5BE8"/>
    <w:rsid w:val="00E06C21"/>
    <w:rsid w:val="00E10E58"/>
    <w:rsid w:val="00E1305D"/>
    <w:rsid w:val="00E256D1"/>
    <w:rsid w:val="00E531FF"/>
    <w:rsid w:val="00E61F51"/>
    <w:rsid w:val="00EC2F6D"/>
    <w:rsid w:val="00EE52AC"/>
    <w:rsid w:val="00F13FE9"/>
    <w:rsid w:val="00F23EB4"/>
    <w:rsid w:val="00F26351"/>
    <w:rsid w:val="00F45762"/>
    <w:rsid w:val="00F5320B"/>
    <w:rsid w:val="00F56DF3"/>
    <w:rsid w:val="00F7033D"/>
    <w:rsid w:val="00F71B3D"/>
    <w:rsid w:val="00FA6BC5"/>
    <w:rsid w:val="00FB1954"/>
    <w:rsid w:val="00FB5273"/>
    <w:rsid w:val="00FC273D"/>
    <w:rsid w:val="00FE031A"/>
    <w:rsid w:val="00FE36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CFAF"/>
  <w15:docId w15:val="{43F796D2-3498-49FB-BA81-468E16A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0444"/>
    <w:pPr>
      <w:spacing w:after="0" w:line="240" w:lineRule="auto"/>
    </w:pPr>
    <w:rPr>
      <w:rFonts w:ascii="Times New Roman" w:eastAsia="Times New Roman" w:hAnsi="Times New Roman" w:cs="Times New Roman"/>
      <w:sz w:val="24"/>
      <w:szCs w:val="20"/>
      <w:lang w:val="en-GB"/>
    </w:rPr>
  </w:style>
  <w:style w:type="paragraph" w:styleId="Heading1">
    <w:name w:val="heading 1"/>
    <w:basedOn w:val="Heading2"/>
    <w:next w:val="Normal"/>
    <w:link w:val="Heading1Char"/>
    <w:uiPriority w:val="9"/>
    <w:rsid w:val="00DC075E"/>
    <w:pPr>
      <w:numPr>
        <w:ilvl w:val="1"/>
        <w:numId w:val="7"/>
      </w:numPr>
      <w:outlineLvl w:val="0"/>
    </w:pPr>
  </w:style>
  <w:style w:type="paragraph" w:styleId="Heading2">
    <w:name w:val="heading 2"/>
    <w:basedOn w:val="Normal"/>
    <w:next w:val="Normal"/>
    <w:link w:val="Heading2Char"/>
    <w:uiPriority w:val="9"/>
    <w:semiHidden/>
    <w:unhideWhenUsed/>
    <w:qFormat/>
    <w:rsid w:val="00DC07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075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4">
    <w:name w:val="Judg-4"/>
    <w:basedOn w:val="Normal"/>
    <w:qFormat/>
    <w:rsid w:val="00D00444"/>
    <w:pPr>
      <w:numPr>
        <w:ilvl w:val="3"/>
        <w:numId w:val="1"/>
      </w:numPr>
      <w:snapToGrid w:val="0"/>
      <w:spacing w:before="100" w:line="360" w:lineRule="auto"/>
      <w:jc w:val="both"/>
    </w:pPr>
  </w:style>
  <w:style w:type="paragraph" w:customStyle="1" w:styleId="Judg-1">
    <w:name w:val="Judg-1"/>
    <w:basedOn w:val="Normal"/>
    <w:qFormat/>
    <w:rsid w:val="00BE07D4"/>
    <w:pPr>
      <w:spacing w:before="320" w:line="360" w:lineRule="auto"/>
      <w:jc w:val="both"/>
    </w:pPr>
    <w:rPr>
      <w:lang w:eastAsia="en-GB"/>
    </w:rPr>
  </w:style>
  <w:style w:type="paragraph" w:styleId="FootnoteText">
    <w:name w:val="footnote text"/>
    <w:basedOn w:val="Normal"/>
    <w:link w:val="FootnoteTextChar"/>
    <w:uiPriority w:val="99"/>
    <w:rsid w:val="00D00444"/>
    <w:pPr>
      <w:spacing w:after="120" w:line="240" w:lineRule="atLeast"/>
      <w:ind w:left="720" w:hanging="720"/>
      <w:jc w:val="both"/>
    </w:pPr>
    <w:rPr>
      <w:sz w:val="20"/>
    </w:rPr>
  </w:style>
  <w:style w:type="character" w:customStyle="1" w:styleId="FootnoteTextChar">
    <w:name w:val="Footnote Text Char"/>
    <w:basedOn w:val="DefaultParagraphFont"/>
    <w:link w:val="FootnoteText"/>
    <w:uiPriority w:val="99"/>
    <w:rsid w:val="00D0044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00444"/>
    <w:rPr>
      <w:sz w:val="20"/>
      <w:vertAlign w:val="superscript"/>
    </w:rPr>
  </w:style>
  <w:style w:type="paragraph" w:customStyle="1" w:styleId="Judg-2">
    <w:name w:val="Judg-2"/>
    <w:basedOn w:val="Normal"/>
    <w:qFormat/>
    <w:rsid w:val="00D00444"/>
    <w:pPr>
      <w:numPr>
        <w:ilvl w:val="1"/>
        <w:numId w:val="1"/>
      </w:numPr>
      <w:spacing w:before="240" w:line="360" w:lineRule="auto"/>
      <w:jc w:val="both"/>
    </w:pPr>
    <w:rPr>
      <w:snapToGrid w:val="0"/>
    </w:rPr>
  </w:style>
  <w:style w:type="paragraph" w:customStyle="1" w:styleId="Judg-3">
    <w:name w:val="Judg-3"/>
    <w:basedOn w:val="Normal"/>
    <w:qFormat/>
    <w:rsid w:val="00D00444"/>
    <w:pPr>
      <w:numPr>
        <w:ilvl w:val="2"/>
        <w:numId w:val="1"/>
      </w:numPr>
      <w:spacing w:before="160" w:line="360" w:lineRule="auto"/>
      <w:jc w:val="both"/>
    </w:pPr>
    <w:rPr>
      <w:snapToGrid w:val="0"/>
    </w:rPr>
  </w:style>
  <w:style w:type="paragraph" w:customStyle="1" w:styleId="Hdg-1">
    <w:name w:val="Hdg-1"/>
    <w:basedOn w:val="Normal"/>
    <w:next w:val="Judg-1"/>
    <w:qFormat/>
    <w:rsid w:val="00F7033D"/>
    <w:pPr>
      <w:keepNext/>
      <w:numPr>
        <w:numId w:val="5"/>
      </w:numPr>
      <w:spacing w:before="320"/>
      <w:ind w:left="426" w:hanging="426"/>
      <w:outlineLvl w:val="0"/>
    </w:pPr>
    <w:rPr>
      <w:b/>
      <w:lang w:val="en-SG"/>
    </w:rPr>
  </w:style>
  <w:style w:type="paragraph" w:customStyle="1" w:styleId="Hdg-2">
    <w:name w:val="Hdg-2"/>
    <w:basedOn w:val="Normal"/>
    <w:next w:val="Judg-1"/>
    <w:link w:val="Hdg-2Char"/>
    <w:qFormat/>
    <w:rsid w:val="00F7033D"/>
    <w:pPr>
      <w:keepNext/>
      <w:numPr>
        <w:numId w:val="7"/>
      </w:numPr>
      <w:spacing w:before="320"/>
      <w:ind w:left="1134" w:hanging="425"/>
      <w:outlineLvl w:val="1"/>
    </w:pPr>
    <w:rPr>
      <w:b/>
      <w:i/>
      <w:lang w:val="en-SG"/>
    </w:rPr>
  </w:style>
  <w:style w:type="paragraph" w:customStyle="1" w:styleId="Quote-1-hdg">
    <w:name w:val="Quote-1-hdg"/>
    <w:basedOn w:val="Normal"/>
    <w:qFormat/>
    <w:rsid w:val="00D00444"/>
    <w:pPr>
      <w:keepNext/>
      <w:spacing w:before="240"/>
      <w:ind w:left="720" w:right="720"/>
      <w:jc w:val="both"/>
    </w:pPr>
    <w:rPr>
      <w:rFonts w:ascii="Bookman Old Style" w:hAnsi="Bookman Old Style"/>
      <w:bCs/>
      <w:sz w:val="20"/>
    </w:rPr>
  </w:style>
  <w:style w:type="paragraph" w:customStyle="1" w:styleId="Judg-5">
    <w:name w:val="Judg-5"/>
    <w:basedOn w:val="Normal"/>
    <w:qFormat/>
    <w:rsid w:val="00D00444"/>
    <w:pPr>
      <w:numPr>
        <w:ilvl w:val="4"/>
        <w:numId w:val="1"/>
      </w:numPr>
      <w:snapToGrid w:val="0"/>
      <w:spacing w:line="360" w:lineRule="auto"/>
      <w:jc w:val="both"/>
    </w:pPr>
  </w:style>
  <w:style w:type="paragraph" w:styleId="Header">
    <w:name w:val="header"/>
    <w:basedOn w:val="Normal"/>
    <w:link w:val="HeaderChar"/>
    <w:uiPriority w:val="99"/>
    <w:unhideWhenUsed/>
    <w:rsid w:val="006E0E66"/>
    <w:pPr>
      <w:tabs>
        <w:tab w:val="center" w:pos="4513"/>
        <w:tab w:val="right" w:pos="9026"/>
      </w:tabs>
    </w:pPr>
  </w:style>
  <w:style w:type="character" w:customStyle="1" w:styleId="HeaderChar">
    <w:name w:val="Header Char"/>
    <w:basedOn w:val="DefaultParagraphFont"/>
    <w:link w:val="Header"/>
    <w:uiPriority w:val="99"/>
    <w:rsid w:val="006E0E6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E0E66"/>
    <w:pPr>
      <w:tabs>
        <w:tab w:val="center" w:pos="4513"/>
        <w:tab w:val="right" w:pos="9026"/>
      </w:tabs>
    </w:pPr>
  </w:style>
  <w:style w:type="character" w:customStyle="1" w:styleId="FooterChar">
    <w:name w:val="Footer Char"/>
    <w:basedOn w:val="DefaultParagraphFont"/>
    <w:link w:val="Footer"/>
    <w:uiPriority w:val="99"/>
    <w:rsid w:val="006E0E66"/>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DC075E"/>
    <w:rPr>
      <w:rFonts w:asciiTheme="majorHAnsi" w:eastAsiaTheme="majorEastAsia" w:hAnsiTheme="majorHAnsi" w:cstheme="majorBidi"/>
      <w:color w:val="365F91" w:themeColor="accent1" w:themeShade="BF"/>
      <w:sz w:val="26"/>
      <w:szCs w:val="26"/>
      <w:lang w:val="en-GB"/>
    </w:rPr>
  </w:style>
  <w:style w:type="paragraph" w:styleId="Quote">
    <w:name w:val="Quote"/>
    <w:basedOn w:val="Judg-1"/>
    <w:next w:val="Normal"/>
    <w:link w:val="QuoteChar"/>
    <w:uiPriority w:val="29"/>
    <w:qFormat/>
    <w:rsid w:val="00AE78AA"/>
    <w:pPr>
      <w:spacing w:line="240" w:lineRule="auto"/>
      <w:ind w:left="709" w:right="663"/>
    </w:pPr>
    <w:rPr>
      <w:szCs w:val="24"/>
    </w:rPr>
  </w:style>
  <w:style w:type="character" w:customStyle="1" w:styleId="QuoteChar">
    <w:name w:val="Quote Char"/>
    <w:basedOn w:val="DefaultParagraphFont"/>
    <w:link w:val="Quote"/>
    <w:uiPriority w:val="29"/>
    <w:rsid w:val="00AE78AA"/>
    <w:rPr>
      <w:rFonts w:ascii="Times New Roman" w:eastAsia="Times New Roman" w:hAnsi="Times New Roman" w:cs="Times New Roman"/>
      <w:sz w:val="24"/>
      <w:szCs w:val="24"/>
      <w:lang w:val="en-GB" w:eastAsia="en-GB"/>
    </w:rPr>
  </w:style>
  <w:style w:type="paragraph" w:customStyle="1" w:styleId="Hdg-3">
    <w:name w:val="Hdg-3"/>
    <w:basedOn w:val="Heading3"/>
    <w:link w:val="Hdg-3Char"/>
    <w:qFormat/>
    <w:rsid w:val="003478A0"/>
    <w:pPr>
      <w:numPr>
        <w:numId w:val="8"/>
      </w:numPr>
      <w:spacing w:before="320"/>
      <w:ind w:left="1077" w:hanging="357"/>
    </w:pPr>
    <w:rPr>
      <w:rFonts w:ascii="Times New Roman" w:hAnsi="Times New Roman" w:cs="Times New Roman"/>
      <w:i/>
      <w:color w:val="auto"/>
    </w:rPr>
  </w:style>
  <w:style w:type="character" w:customStyle="1" w:styleId="Heading2Char">
    <w:name w:val="Heading 2 Char"/>
    <w:basedOn w:val="DefaultParagraphFont"/>
    <w:link w:val="Heading2"/>
    <w:uiPriority w:val="9"/>
    <w:semiHidden/>
    <w:rsid w:val="00DC075E"/>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FE031A"/>
    <w:rPr>
      <w:sz w:val="16"/>
      <w:szCs w:val="16"/>
    </w:rPr>
  </w:style>
  <w:style w:type="character" w:customStyle="1" w:styleId="Hdg-2Char">
    <w:name w:val="Hdg-2 Char"/>
    <w:basedOn w:val="DefaultParagraphFont"/>
    <w:link w:val="Hdg-2"/>
    <w:rsid w:val="00F7033D"/>
    <w:rPr>
      <w:rFonts w:ascii="Times New Roman" w:eastAsia="Times New Roman" w:hAnsi="Times New Roman" w:cs="Times New Roman"/>
      <w:b/>
      <w:i/>
      <w:sz w:val="24"/>
      <w:szCs w:val="20"/>
    </w:rPr>
  </w:style>
  <w:style w:type="character" w:customStyle="1" w:styleId="Hdg-3Char">
    <w:name w:val="Hdg-3 Char"/>
    <w:basedOn w:val="Hdg-2Char"/>
    <w:link w:val="Hdg-3"/>
    <w:rsid w:val="003478A0"/>
    <w:rPr>
      <w:rFonts w:ascii="Times New Roman" w:eastAsiaTheme="majorEastAsia" w:hAnsi="Times New Roman" w:cs="Times New Roman"/>
      <w:b w:val="0"/>
      <w:i/>
      <w:sz w:val="24"/>
      <w:szCs w:val="24"/>
      <w:lang w:val="en-GB"/>
    </w:rPr>
  </w:style>
  <w:style w:type="character" w:customStyle="1" w:styleId="Heading3Char">
    <w:name w:val="Heading 3 Char"/>
    <w:basedOn w:val="DefaultParagraphFont"/>
    <w:link w:val="Heading3"/>
    <w:uiPriority w:val="9"/>
    <w:semiHidden/>
    <w:rsid w:val="00DC075E"/>
    <w:rPr>
      <w:rFonts w:asciiTheme="majorHAnsi" w:eastAsiaTheme="majorEastAsia" w:hAnsiTheme="majorHAnsi" w:cstheme="majorBidi"/>
      <w:color w:val="243F60" w:themeColor="accent1" w:themeShade="7F"/>
      <w:sz w:val="24"/>
      <w:szCs w:val="24"/>
      <w:lang w:val="en-GB"/>
    </w:rPr>
  </w:style>
  <w:style w:type="paragraph" w:styleId="CommentText">
    <w:name w:val="annotation text"/>
    <w:basedOn w:val="Normal"/>
    <w:link w:val="CommentTextChar"/>
    <w:uiPriority w:val="99"/>
    <w:unhideWhenUsed/>
    <w:rsid w:val="00FE031A"/>
    <w:rPr>
      <w:sz w:val="20"/>
    </w:rPr>
  </w:style>
  <w:style w:type="character" w:customStyle="1" w:styleId="CommentTextChar">
    <w:name w:val="Comment Text Char"/>
    <w:basedOn w:val="DefaultParagraphFont"/>
    <w:link w:val="CommentText"/>
    <w:uiPriority w:val="99"/>
    <w:rsid w:val="00FE03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031A"/>
    <w:rPr>
      <w:b/>
      <w:bCs/>
    </w:rPr>
  </w:style>
  <w:style w:type="character" w:customStyle="1" w:styleId="CommentSubjectChar">
    <w:name w:val="Comment Subject Char"/>
    <w:basedOn w:val="CommentTextChar"/>
    <w:link w:val="CommentSubject"/>
    <w:uiPriority w:val="99"/>
    <w:semiHidden/>
    <w:rsid w:val="00FE031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E0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1A"/>
    <w:rPr>
      <w:rFonts w:ascii="Segoe UI" w:eastAsia="Times New Roman" w:hAnsi="Segoe UI" w:cs="Segoe UI"/>
      <w:sz w:val="18"/>
      <w:szCs w:val="18"/>
      <w:lang w:val="en-GB"/>
    </w:rPr>
  </w:style>
  <w:style w:type="paragraph" w:styleId="NormalWeb">
    <w:name w:val="Normal (Web)"/>
    <w:basedOn w:val="Normal"/>
    <w:uiPriority w:val="99"/>
    <w:unhideWhenUsed/>
    <w:rsid w:val="00473F94"/>
    <w:pPr>
      <w:spacing w:before="100" w:beforeAutospacing="1" w:after="100" w:afterAutospacing="1"/>
    </w:pPr>
    <w:rPr>
      <w:szCs w:val="24"/>
      <w:lang w:val="en-SG" w:eastAsia="zh-CN"/>
    </w:rPr>
  </w:style>
  <w:style w:type="character" w:styleId="Hyperlink">
    <w:name w:val="Hyperlink"/>
    <w:basedOn w:val="DefaultParagraphFont"/>
    <w:uiPriority w:val="99"/>
    <w:unhideWhenUsed/>
    <w:rsid w:val="00473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ca.org.uk/publication/documents/fund-structuring-options.pdf" TargetMode="External"/><Relationship Id="rId2" Type="http://schemas.openxmlformats.org/officeDocument/2006/relationships/hyperlink" Target="https://www.acra.gov.sg/how-to-guides/setting-up-a-vcc/introduction" TargetMode="External"/><Relationship Id="rId1" Type="http://schemas.openxmlformats.org/officeDocument/2006/relationships/hyperlink" Target="https://www.bcg.com/publications/2020/global-asset-management-protect-adapt-innovate" TargetMode="External"/><Relationship Id="rId4" Type="http://schemas.openxmlformats.org/officeDocument/2006/relationships/hyperlink" Target="https://www.acra.gov.sg/how-to-guides/setting-up-a-vcc/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416E-E65E-D140-A416-80457850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Adel ZAID HAMZAH</cp:lastModifiedBy>
  <cp:revision>12</cp:revision>
  <dcterms:created xsi:type="dcterms:W3CDTF">2020-10-10T02:15:00Z</dcterms:created>
  <dcterms:modified xsi:type="dcterms:W3CDTF">2022-06-20T01:56:00Z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756f9c-e3e7-4810-90da-ea6bfb97c434_Enabled">
    <vt:lpwstr>True</vt:lpwstr>
  </property>
  <property fmtid="{D5CDD505-2E9C-101B-9397-08002B2CF9AE}" pid="3" name="MSIP_Label_1e756f9c-e3e7-4810-90da-ea6bfb97c434_SiteId">
    <vt:lpwstr>c98a79ca-5a9a-4791-a243-f06afd67464d</vt:lpwstr>
  </property>
  <property fmtid="{D5CDD505-2E9C-101B-9397-08002B2CF9AE}" pid="4" name="MSIP_Label_1e756f9c-e3e7-4810-90da-ea6bfb97c434_Owner">
    <vt:lpwstr>nicholasliu@smu.edu.sg</vt:lpwstr>
  </property>
  <property fmtid="{D5CDD505-2E9C-101B-9397-08002B2CF9AE}" pid="5" name="MSIP_Label_1e756f9c-e3e7-4810-90da-ea6bfb97c434_SetDate">
    <vt:lpwstr>2020-09-22T10:24:08.8545361Z</vt:lpwstr>
  </property>
  <property fmtid="{D5CDD505-2E9C-101B-9397-08002B2CF9AE}" pid="6" name="MSIP_Label_1e756f9c-e3e7-4810-90da-ea6bfb97c434_Name">
    <vt:lpwstr>Unrestricted</vt:lpwstr>
  </property>
  <property fmtid="{D5CDD505-2E9C-101B-9397-08002B2CF9AE}" pid="7" name="MSIP_Label_1e756f9c-e3e7-4810-90da-ea6bfb97c434_Application">
    <vt:lpwstr>Microsoft Azure Information Protection</vt:lpwstr>
  </property>
  <property fmtid="{D5CDD505-2E9C-101B-9397-08002B2CF9AE}" pid="8" name="MSIP_Label_1e756f9c-e3e7-4810-90da-ea6bfb97c434_ActionId">
    <vt:lpwstr>73326af9-484a-47e5-92d0-5a0d70e3fb91</vt:lpwstr>
  </property>
  <property fmtid="{D5CDD505-2E9C-101B-9397-08002B2CF9AE}" pid="9" name="MSIP_Label_1e756f9c-e3e7-4810-90da-ea6bfb97c434_Extended_MSFT_Method">
    <vt:lpwstr>Manual</vt:lpwstr>
  </property>
  <property fmtid="{D5CDD505-2E9C-101B-9397-08002B2CF9AE}" pid="10" name="Sensitivity">
    <vt:lpwstr>Unrestricted</vt:lpwstr>
  </property>
</Properties>
</file>