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7AD" w:rsidRDefault="005D27AD" w:rsidP="005D27AD">
      <w:pPr>
        <w:rPr>
          <w:rFonts w:eastAsia="Times New Roman" w:cs="Times New Roman"/>
          <w:b/>
          <w:bCs/>
          <w:lang w:val="fr-FR"/>
        </w:rPr>
      </w:pPr>
      <w:r w:rsidRPr="005D27AD">
        <w:rPr>
          <w:rFonts w:eastAsia="Times New Roman" w:cs="Times New Roman"/>
          <w:b/>
          <w:bCs/>
          <w:lang w:val="fr-FR"/>
        </w:rPr>
        <w:t>Reliez les éléments qui vont ensemble d’après le contexte.</w:t>
      </w:r>
    </w:p>
    <w:p w:rsidR="005D27AD" w:rsidRPr="005D27AD" w:rsidRDefault="005D27AD" w:rsidP="005D27AD">
      <w:pPr>
        <w:rPr>
          <w:rFonts w:eastAsia="Times New Roman" w:cs="Times New Roman"/>
          <w:b/>
          <w:bCs/>
          <w:lang w:val="fr-FR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1744"/>
        <w:gridCol w:w="1785"/>
        <w:gridCol w:w="3538"/>
      </w:tblGrid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remplir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choisir de ce dont on se sépare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accumuler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acheter ce dont on n’a pas besoin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faire le tri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 xml:space="preserve">/ici/ ne plus réussir à s’en sortir 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gaspiller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 xml:space="preserve">en mettre jusqu’à ce que ce soit plein 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avoir marre de qch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trouver ce qui va ensemble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accorder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en garder de plus en plus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 xml:space="preserve">superflu 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en avoir assez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se noyer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en avoir trop</w:t>
            </w:r>
          </w:p>
        </w:tc>
      </w:tr>
      <w:tr w:rsidR="005D27AD" w:rsidRPr="005D27AD" w:rsidTr="005F3583">
        <w:tc>
          <w:tcPr>
            <w:tcW w:w="1995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 xml:space="preserve">déborder </w:t>
            </w:r>
          </w:p>
        </w:tc>
        <w:tc>
          <w:tcPr>
            <w:tcW w:w="1744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1785" w:type="dxa"/>
          </w:tcPr>
          <w:p w:rsidR="005D27AD" w:rsidRPr="005D27AD" w:rsidRDefault="005D27AD" w:rsidP="005D27AD">
            <w:pPr>
              <w:numPr>
                <w:ilvl w:val="0"/>
                <w:numId w:val="1"/>
              </w:numPr>
              <w:spacing w:line="720" w:lineRule="auto"/>
              <w:contextualSpacing/>
              <w:jc w:val="both"/>
              <w:rPr>
                <w:lang w:val="fr-FR"/>
              </w:rPr>
            </w:pPr>
          </w:p>
        </w:tc>
        <w:tc>
          <w:tcPr>
            <w:tcW w:w="3538" w:type="dxa"/>
          </w:tcPr>
          <w:p w:rsidR="005D27AD" w:rsidRPr="005D27AD" w:rsidRDefault="005D27AD" w:rsidP="005D27AD">
            <w:pPr>
              <w:spacing w:line="720" w:lineRule="auto"/>
              <w:jc w:val="both"/>
              <w:rPr>
                <w:lang w:val="fr-FR"/>
              </w:rPr>
            </w:pPr>
            <w:r w:rsidRPr="005D27AD">
              <w:rPr>
                <w:lang w:val="fr-FR"/>
              </w:rPr>
              <w:t>inutile</w:t>
            </w:r>
          </w:p>
        </w:tc>
      </w:tr>
    </w:tbl>
    <w:p w:rsidR="00035F79" w:rsidRDefault="00035F79"/>
    <w:sectPr w:rsidR="00035F79" w:rsidSect="005D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D8A" w:rsidRDefault="00C61D8A" w:rsidP="005D27AD">
      <w:pPr>
        <w:spacing w:after="0" w:line="240" w:lineRule="auto"/>
      </w:pPr>
      <w:r>
        <w:separator/>
      </w:r>
    </w:p>
  </w:endnote>
  <w:endnote w:type="continuationSeparator" w:id="0">
    <w:p w:rsidR="00C61D8A" w:rsidRDefault="00C61D8A" w:rsidP="005D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AD" w:rsidRDefault="005D27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AD" w:rsidRDefault="005D27A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6946EBC26A7439680D45F5F631A31A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5D27AD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:rsidR="005D27AD" w:rsidRDefault="005D27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AD" w:rsidRDefault="005D27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D8A" w:rsidRDefault="00C61D8A" w:rsidP="005D27AD">
      <w:pPr>
        <w:spacing w:after="0" w:line="240" w:lineRule="auto"/>
      </w:pPr>
      <w:r>
        <w:separator/>
      </w:r>
    </w:p>
  </w:footnote>
  <w:footnote w:type="continuationSeparator" w:id="0">
    <w:p w:rsidR="00C61D8A" w:rsidRDefault="00C61D8A" w:rsidP="005D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AD" w:rsidRDefault="005D27A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32251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AD" w:rsidRDefault="005D27A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32252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AD" w:rsidRDefault="005D27A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32250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744D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44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D"/>
    <w:rsid w:val="00035F79"/>
    <w:rsid w:val="005D27AD"/>
    <w:rsid w:val="00C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EDDB"/>
  <w15:chartTrackingRefBased/>
  <w15:docId w15:val="{DFB33248-6518-4440-97DD-F80D091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7AD"/>
    <w:pPr>
      <w:ind w:left="720"/>
      <w:contextualSpacing/>
    </w:pPr>
    <w:rPr>
      <w:rFonts w:eastAsia="Times New Roman" w:cs="Times New Roman"/>
      <w:lang w:val="fr-FR"/>
    </w:rPr>
  </w:style>
  <w:style w:type="table" w:styleId="Rcsostblzat">
    <w:name w:val="Table Grid"/>
    <w:basedOn w:val="Normltblzat"/>
    <w:uiPriority w:val="39"/>
    <w:rsid w:val="005D27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7AD"/>
  </w:style>
  <w:style w:type="paragraph" w:styleId="llb">
    <w:name w:val="footer"/>
    <w:basedOn w:val="Norml"/>
    <w:link w:val="llbChar"/>
    <w:uiPriority w:val="99"/>
    <w:unhideWhenUsed/>
    <w:rsid w:val="005D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46EBC26A7439680D45F5F631A31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CBA45B-389C-48A5-A4D0-60D6B2EBF23B}"/>
      </w:docPartPr>
      <w:docPartBody>
        <w:p w:rsidR="00000000" w:rsidRDefault="00DC3B52" w:rsidP="00DC3B52">
          <w:pPr>
            <w:pStyle w:val="D6946EBC26A7439680D45F5F631A31A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52"/>
    <w:rsid w:val="00A523C6"/>
    <w:rsid w:val="00D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3B52"/>
    <w:rPr>
      <w:color w:val="808080"/>
    </w:rPr>
  </w:style>
  <w:style w:type="paragraph" w:customStyle="1" w:styleId="D6946EBC26A7439680D45F5F631A31AB">
    <w:name w:val="D6946EBC26A7439680D45F5F631A31AB"/>
    <w:rsid w:val="00DC3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2023-02-12T09:15:00Z</dcterms:created>
  <dcterms:modified xsi:type="dcterms:W3CDTF">2023-02-12T09:17:00Z</dcterms:modified>
</cp:coreProperties>
</file>