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A29C4" w14:textId="47D1C7E3" w:rsidR="00D54965" w:rsidRDefault="00D949CC" w:rsidP="00E97E36">
      <w:pPr>
        <w:widowControl w:val="0"/>
        <w:spacing w:after="0" w:line="240" w:lineRule="auto"/>
        <w:ind w:left="567" w:hanging="567"/>
        <w:jc w:val="center"/>
        <w:rPr>
          <w:rFonts w:cs="Times New Roman"/>
          <w:b/>
          <w:bCs/>
          <w:i/>
          <w:iCs/>
          <w:szCs w:val="24"/>
          <w:u w:val="single"/>
        </w:rPr>
      </w:pPr>
      <w:r w:rsidRPr="000603E5">
        <w:rPr>
          <w:rFonts w:cs="Times New Roman"/>
          <w:b/>
          <w:bCs/>
          <w:szCs w:val="24"/>
          <w:u w:val="single"/>
        </w:rPr>
        <w:t>By-election</w:t>
      </w:r>
      <w:r w:rsidR="00115EFA" w:rsidRPr="000603E5">
        <w:rPr>
          <w:rFonts w:cs="Times New Roman"/>
          <w:b/>
          <w:bCs/>
          <w:szCs w:val="24"/>
          <w:u w:val="single"/>
        </w:rPr>
        <w:t xml:space="preserve">s for </w:t>
      </w:r>
      <w:r w:rsidRPr="000603E5">
        <w:rPr>
          <w:rFonts w:cs="Times New Roman"/>
          <w:b/>
          <w:bCs/>
          <w:szCs w:val="24"/>
          <w:u w:val="single"/>
        </w:rPr>
        <w:t>single vacanc</w:t>
      </w:r>
      <w:r w:rsidR="00115EFA" w:rsidRPr="000603E5">
        <w:rPr>
          <w:rFonts w:cs="Times New Roman"/>
          <w:b/>
          <w:bCs/>
          <w:szCs w:val="24"/>
          <w:u w:val="single"/>
        </w:rPr>
        <w:t>ies</w:t>
      </w:r>
      <w:r w:rsidRPr="000603E5">
        <w:rPr>
          <w:rFonts w:cs="Times New Roman"/>
          <w:b/>
          <w:bCs/>
          <w:szCs w:val="24"/>
          <w:u w:val="single"/>
        </w:rPr>
        <w:t xml:space="preserve"> in GRC</w:t>
      </w:r>
      <w:r w:rsidR="00115EFA" w:rsidRPr="000603E5">
        <w:rPr>
          <w:rFonts w:cs="Times New Roman"/>
          <w:b/>
          <w:bCs/>
          <w:szCs w:val="24"/>
          <w:u w:val="single"/>
        </w:rPr>
        <w:t>s</w:t>
      </w:r>
      <w:r w:rsidR="00D54965" w:rsidRPr="000603E5">
        <w:rPr>
          <w:rFonts w:cs="Times New Roman"/>
          <w:b/>
          <w:bCs/>
          <w:szCs w:val="24"/>
          <w:u w:val="single"/>
        </w:rPr>
        <w:t>:</w:t>
      </w:r>
    </w:p>
    <w:p w14:paraId="52297744" w14:textId="55EE3345" w:rsidR="00DC60BF" w:rsidRDefault="00DC60BF" w:rsidP="00E97E36">
      <w:pPr>
        <w:widowControl w:val="0"/>
        <w:spacing w:after="0" w:line="240" w:lineRule="auto"/>
        <w:ind w:left="567" w:hanging="567"/>
        <w:jc w:val="center"/>
        <w:rPr>
          <w:rFonts w:cs="Times New Roman"/>
          <w:szCs w:val="24"/>
          <w:u w:val="single"/>
        </w:rPr>
      </w:pPr>
      <w:r w:rsidRPr="008D3267">
        <w:rPr>
          <w:rFonts w:cs="Times New Roman"/>
          <w:b/>
          <w:bCs/>
          <w:i/>
          <w:iCs/>
          <w:szCs w:val="24"/>
          <w:u w:val="single"/>
        </w:rPr>
        <w:t>Wong Souk Yee v Attorney</w:t>
      </w:r>
      <w:r w:rsidR="00C3163D">
        <w:rPr>
          <w:rFonts w:cs="Times New Roman"/>
          <w:b/>
          <w:bCs/>
          <w:i/>
          <w:iCs/>
          <w:szCs w:val="24"/>
          <w:u w:val="single"/>
        </w:rPr>
        <w:t>-</w:t>
      </w:r>
      <w:r w:rsidRPr="008D3267">
        <w:rPr>
          <w:rFonts w:cs="Times New Roman"/>
          <w:b/>
          <w:bCs/>
          <w:i/>
          <w:iCs/>
          <w:szCs w:val="24"/>
          <w:u w:val="single"/>
        </w:rPr>
        <w:t>General</w:t>
      </w:r>
      <w:r w:rsidRPr="005A1AFE">
        <w:rPr>
          <w:rFonts w:cs="Times New Roman"/>
          <w:szCs w:val="24"/>
          <w:u w:val="single"/>
        </w:rPr>
        <w:t xml:space="preserve"> </w:t>
      </w:r>
      <w:r w:rsidRPr="00FB1525">
        <w:rPr>
          <w:rFonts w:cs="Times New Roman"/>
          <w:b/>
          <w:bCs/>
          <w:szCs w:val="24"/>
          <w:u w:val="single"/>
        </w:rPr>
        <w:t>[2019] SGCA 25</w:t>
      </w:r>
    </w:p>
    <w:p w14:paraId="3A630EC9" w14:textId="77777777" w:rsidR="00AC0218" w:rsidRDefault="00AC0218" w:rsidP="00E97E36">
      <w:pPr>
        <w:widowControl w:val="0"/>
        <w:spacing w:after="0" w:line="240" w:lineRule="auto"/>
        <w:ind w:left="567" w:hanging="567"/>
        <w:jc w:val="center"/>
      </w:pPr>
    </w:p>
    <w:p w14:paraId="71C8B37E" w14:textId="40003DC9" w:rsidR="000466C0" w:rsidRDefault="007B1080" w:rsidP="00E97E36">
      <w:pPr>
        <w:pStyle w:val="Heading1"/>
        <w:widowControl w:val="0"/>
        <w:spacing w:after="0" w:line="240" w:lineRule="auto"/>
        <w:ind w:left="567" w:hanging="567"/>
        <w:jc w:val="both"/>
      </w:pPr>
      <w:r>
        <w:t>Executive summary</w:t>
      </w:r>
    </w:p>
    <w:p w14:paraId="53FF5AC2" w14:textId="100AB463" w:rsidR="007B1080" w:rsidRDefault="007B1080" w:rsidP="00E97E36">
      <w:pPr>
        <w:widowControl w:val="0"/>
        <w:spacing w:after="0" w:line="240" w:lineRule="auto"/>
        <w:jc w:val="both"/>
        <w:rPr>
          <w:lang w:val="en-US"/>
        </w:rPr>
      </w:pPr>
      <w:r>
        <w:rPr>
          <w:lang w:val="en-US"/>
        </w:rPr>
        <w:t xml:space="preserve">In Singapore, there are two types of </w:t>
      </w:r>
      <w:r w:rsidRPr="00586AFE">
        <w:rPr>
          <w:lang w:val="en-US"/>
        </w:rPr>
        <w:t xml:space="preserve">electoral </w:t>
      </w:r>
      <w:r w:rsidR="00586AFE">
        <w:rPr>
          <w:lang w:val="en-US"/>
        </w:rPr>
        <w:t>divisions</w:t>
      </w:r>
      <w:r>
        <w:rPr>
          <w:lang w:val="en-US"/>
        </w:rPr>
        <w:t xml:space="preserve"> – </w:t>
      </w:r>
      <w:r w:rsidR="00C77EEB" w:rsidRPr="00C77EEB">
        <w:rPr>
          <w:lang w:val="en-US"/>
        </w:rPr>
        <w:t>Single Member Constituencies</w:t>
      </w:r>
      <w:r w:rsidR="00C77EEB">
        <w:rPr>
          <w:lang w:val="en-US"/>
        </w:rPr>
        <w:t xml:space="preserve"> (“</w:t>
      </w:r>
      <w:r w:rsidR="00C77EEB" w:rsidRPr="00833D2B">
        <w:rPr>
          <w:b/>
          <w:bCs/>
          <w:lang w:val="en-US"/>
        </w:rPr>
        <w:t>SMC</w:t>
      </w:r>
      <w:r w:rsidR="001F56D1" w:rsidRPr="00833D2B">
        <w:rPr>
          <w:b/>
          <w:bCs/>
          <w:lang w:val="en-US"/>
        </w:rPr>
        <w:t>s</w:t>
      </w:r>
      <w:r w:rsidR="00C77EEB">
        <w:rPr>
          <w:lang w:val="en-US"/>
        </w:rPr>
        <w:t xml:space="preserve">”) and </w:t>
      </w:r>
      <w:r w:rsidR="00C77EEB" w:rsidRPr="00C77EEB">
        <w:rPr>
          <w:lang w:val="en-US"/>
        </w:rPr>
        <w:t>Group Representation Constituencies</w:t>
      </w:r>
      <w:r w:rsidR="00C77EEB">
        <w:rPr>
          <w:lang w:val="en-US"/>
        </w:rPr>
        <w:t xml:space="preserve"> (“</w:t>
      </w:r>
      <w:r w:rsidR="00C77EEB" w:rsidRPr="00833D2B">
        <w:rPr>
          <w:b/>
          <w:bCs/>
          <w:lang w:val="en-US"/>
        </w:rPr>
        <w:t>GRC</w:t>
      </w:r>
      <w:r w:rsidR="001F56D1" w:rsidRPr="00833D2B">
        <w:rPr>
          <w:b/>
          <w:bCs/>
          <w:lang w:val="en-US"/>
        </w:rPr>
        <w:t>s</w:t>
      </w:r>
      <w:r w:rsidR="00C77EEB">
        <w:rPr>
          <w:lang w:val="en-US"/>
        </w:rPr>
        <w:t>”)</w:t>
      </w:r>
      <w:r>
        <w:rPr>
          <w:lang w:val="en-US"/>
        </w:rPr>
        <w:t xml:space="preserve">. </w:t>
      </w:r>
      <w:r w:rsidR="00BE6D19">
        <w:rPr>
          <w:lang w:val="en-US"/>
        </w:rPr>
        <w:t xml:space="preserve">The number of seats in a GRC varies from 4 to 6 </w:t>
      </w:r>
      <w:r w:rsidR="00BE6D19" w:rsidRPr="001E0D6D">
        <w:rPr>
          <w:lang w:val="en-US"/>
        </w:rPr>
        <w:t>seats.</w:t>
      </w:r>
      <w:r w:rsidR="00BE6D19">
        <w:rPr>
          <w:lang w:val="en-US"/>
        </w:rPr>
        <w:t xml:space="preserve"> </w:t>
      </w:r>
      <w:r>
        <w:rPr>
          <w:lang w:val="en-US"/>
        </w:rPr>
        <w:t xml:space="preserve">The GRC scheme was introduced in </w:t>
      </w:r>
      <w:r w:rsidR="001E0D6D">
        <w:rPr>
          <w:lang w:val="en-US"/>
        </w:rPr>
        <w:t>1988</w:t>
      </w:r>
      <w:r>
        <w:rPr>
          <w:lang w:val="en-US"/>
        </w:rPr>
        <w:t xml:space="preserve"> with the </w:t>
      </w:r>
      <w:r w:rsidR="00691011">
        <w:rPr>
          <w:lang w:val="en-US"/>
        </w:rPr>
        <w:t>goal</w:t>
      </w:r>
      <w:r>
        <w:rPr>
          <w:lang w:val="en-US"/>
        </w:rPr>
        <w:t xml:space="preserve"> of promoting greater minority representation</w:t>
      </w:r>
      <w:r w:rsidR="00423F7A">
        <w:rPr>
          <w:lang w:val="en-US"/>
        </w:rPr>
        <w:t>. As such,</w:t>
      </w:r>
      <w:r>
        <w:rPr>
          <w:lang w:val="en-US"/>
        </w:rPr>
        <w:t xml:space="preserve"> each GRC </w:t>
      </w:r>
      <w:r w:rsidR="00F0540A">
        <w:rPr>
          <w:lang w:val="en-US"/>
        </w:rPr>
        <w:t>must have</w:t>
      </w:r>
      <w:r w:rsidR="00423F7A">
        <w:rPr>
          <w:lang w:val="en-US"/>
        </w:rPr>
        <w:t xml:space="preserve"> </w:t>
      </w:r>
      <w:r>
        <w:rPr>
          <w:lang w:val="en-US"/>
        </w:rPr>
        <w:t>at least one M</w:t>
      </w:r>
      <w:r w:rsidR="00423F7A">
        <w:rPr>
          <w:lang w:val="en-US"/>
        </w:rPr>
        <w:t xml:space="preserve">ember of </w:t>
      </w:r>
      <w:r>
        <w:rPr>
          <w:lang w:val="en-US"/>
        </w:rPr>
        <w:t>P</w:t>
      </w:r>
      <w:r w:rsidR="00423F7A">
        <w:rPr>
          <w:lang w:val="en-US"/>
        </w:rPr>
        <w:t>arliament (“</w:t>
      </w:r>
      <w:r w:rsidR="00423F7A">
        <w:rPr>
          <w:b/>
          <w:bCs/>
          <w:lang w:val="en-US"/>
        </w:rPr>
        <w:t>MP</w:t>
      </w:r>
      <w:r w:rsidR="00423F7A">
        <w:rPr>
          <w:lang w:val="en-US"/>
        </w:rPr>
        <w:t>”)</w:t>
      </w:r>
      <w:r>
        <w:rPr>
          <w:lang w:val="en-US"/>
        </w:rPr>
        <w:t xml:space="preserve"> from a minority racial group. </w:t>
      </w:r>
      <w:r w:rsidRPr="001E0D6D">
        <w:rPr>
          <w:lang w:val="en-US"/>
        </w:rPr>
        <w:t xml:space="preserve">In </w:t>
      </w:r>
      <w:r w:rsidRPr="00C6524B">
        <w:rPr>
          <w:i/>
          <w:iCs/>
          <w:lang w:val="en-US"/>
        </w:rPr>
        <w:t>Wong Souk Yee v AG</w:t>
      </w:r>
      <w:r w:rsidR="009144CB">
        <w:rPr>
          <w:lang w:val="en-US"/>
        </w:rPr>
        <w:t xml:space="preserve"> </w:t>
      </w:r>
      <w:r w:rsidR="00126BDC">
        <w:rPr>
          <w:lang w:val="en-US"/>
        </w:rPr>
        <w:t>[2019] SGCA 25</w:t>
      </w:r>
      <w:r w:rsidRPr="001E0D6D">
        <w:rPr>
          <w:lang w:val="en-US"/>
        </w:rPr>
        <w:t>, the Court of Appeal (“</w:t>
      </w:r>
      <w:r w:rsidRPr="00833D2B">
        <w:rPr>
          <w:b/>
          <w:bCs/>
          <w:lang w:val="en-US"/>
        </w:rPr>
        <w:t>CA</w:t>
      </w:r>
      <w:r w:rsidRPr="001E0D6D">
        <w:rPr>
          <w:lang w:val="en-US"/>
        </w:rPr>
        <w:t xml:space="preserve">”) addressed the question of whether a by-election for </w:t>
      </w:r>
      <w:r w:rsidRPr="00E137E5">
        <w:rPr>
          <w:i/>
          <w:iCs/>
          <w:lang w:val="en-US"/>
        </w:rPr>
        <w:t>all</w:t>
      </w:r>
      <w:r w:rsidRPr="001E0D6D">
        <w:rPr>
          <w:lang w:val="en-US"/>
        </w:rPr>
        <w:t xml:space="preserve"> the seats of the GRC is required</w:t>
      </w:r>
      <w:r>
        <w:rPr>
          <w:lang w:val="en-US"/>
        </w:rPr>
        <w:t xml:space="preserve"> when </w:t>
      </w:r>
      <w:r w:rsidR="00AB7410">
        <w:rPr>
          <w:lang w:val="en-US"/>
        </w:rPr>
        <w:t xml:space="preserve">only </w:t>
      </w:r>
      <w:r w:rsidRPr="002C5088">
        <w:rPr>
          <w:i/>
          <w:iCs/>
          <w:lang w:val="en-US"/>
        </w:rPr>
        <w:t>one</w:t>
      </w:r>
      <w:r>
        <w:rPr>
          <w:lang w:val="en-US"/>
        </w:rPr>
        <w:t xml:space="preserve"> MP vacates his or her seat in the GRC. The CA held that a by-election </w:t>
      </w:r>
      <w:r w:rsidR="004B7262">
        <w:rPr>
          <w:lang w:val="en-US"/>
        </w:rPr>
        <w:t>is</w:t>
      </w:r>
      <w:r w:rsidR="00C46071">
        <w:rPr>
          <w:lang w:val="en-US"/>
        </w:rPr>
        <w:t xml:space="preserve"> </w:t>
      </w:r>
      <w:r>
        <w:rPr>
          <w:lang w:val="en-US"/>
        </w:rPr>
        <w:t xml:space="preserve">not required </w:t>
      </w:r>
      <w:r w:rsidR="00AB7410">
        <w:rPr>
          <w:lang w:val="en-US"/>
        </w:rPr>
        <w:t xml:space="preserve">under </w:t>
      </w:r>
      <w:r>
        <w:rPr>
          <w:lang w:val="en-US"/>
        </w:rPr>
        <w:t>such circumstances.</w:t>
      </w:r>
    </w:p>
    <w:p w14:paraId="32F5EA6E" w14:textId="500200CD" w:rsidR="007B1080" w:rsidRDefault="007B1080" w:rsidP="00E97E36">
      <w:pPr>
        <w:widowControl w:val="0"/>
        <w:spacing w:after="0" w:line="240" w:lineRule="auto"/>
        <w:jc w:val="both"/>
        <w:rPr>
          <w:lang w:val="en-US"/>
        </w:rPr>
      </w:pPr>
    </w:p>
    <w:p w14:paraId="018A022E" w14:textId="3A457094" w:rsidR="00A108FF" w:rsidRDefault="00BD74FF" w:rsidP="00E97E36">
      <w:pPr>
        <w:widowControl w:val="0"/>
        <w:spacing w:after="0" w:line="240" w:lineRule="auto"/>
        <w:jc w:val="both"/>
        <w:rPr>
          <w:rFonts w:cs="Times New Roman"/>
          <w:szCs w:val="24"/>
        </w:rPr>
      </w:pPr>
      <w:r>
        <w:rPr>
          <w:rFonts w:cs="Times New Roman"/>
          <w:szCs w:val="24"/>
        </w:rPr>
        <w:t xml:space="preserve">The </w:t>
      </w:r>
      <w:r w:rsidR="00AF3E23">
        <w:rPr>
          <w:rFonts w:cs="Times New Roman"/>
          <w:szCs w:val="24"/>
        </w:rPr>
        <w:t xml:space="preserve">appellant </w:t>
      </w:r>
      <w:r>
        <w:rPr>
          <w:rFonts w:cs="Times New Roman"/>
          <w:szCs w:val="24"/>
        </w:rPr>
        <w:t>Dr Wong Souk Yee (“</w:t>
      </w:r>
      <w:r>
        <w:rPr>
          <w:rFonts w:cs="Times New Roman"/>
          <w:b/>
          <w:bCs/>
          <w:szCs w:val="24"/>
        </w:rPr>
        <w:t>Dr Wong</w:t>
      </w:r>
      <w:r>
        <w:rPr>
          <w:rFonts w:cs="Times New Roman"/>
          <w:szCs w:val="24"/>
        </w:rPr>
        <w:t xml:space="preserve">”) </w:t>
      </w:r>
      <w:r w:rsidR="00A108FF">
        <w:rPr>
          <w:rFonts w:cs="Times New Roman"/>
          <w:szCs w:val="24"/>
        </w:rPr>
        <w:t>was</w:t>
      </w:r>
      <w:r w:rsidR="00A108FF" w:rsidRPr="007844A9">
        <w:rPr>
          <w:rFonts w:cs="Times New Roman"/>
          <w:szCs w:val="24"/>
        </w:rPr>
        <w:t xml:space="preserve"> a resident of </w:t>
      </w:r>
      <w:r w:rsidR="00AD3506">
        <w:rPr>
          <w:rFonts w:cs="Times New Roman"/>
          <w:szCs w:val="24"/>
        </w:rPr>
        <w:t>Marsiling-Yew Te</w:t>
      </w:r>
      <w:r w:rsidR="00D0317A">
        <w:rPr>
          <w:rFonts w:cs="Times New Roman"/>
          <w:szCs w:val="24"/>
        </w:rPr>
        <w:t>e</w:t>
      </w:r>
      <w:r w:rsidR="00AD3506">
        <w:rPr>
          <w:rFonts w:cs="Times New Roman"/>
          <w:szCs w:val="24"/>
        </w:rPr>
        <w:t xml:space="preserve"> </w:t>
      </w:r>
      <w:r w:rsidR="00AD3506" w:rsidRPr="007844A9">
        <w:rPr>
          <w:rFonts w:cs="Times New Roman"/>
          <w:szCs w:val="24"/>
        </w:rPr>
        <w:t>GRC</w:t>
      </w:r>
      <w:r w:rsidR="00AD3506">
        <w:rPr>
          <w:rFonts w:cs="Times New Roman"/>
          <w:szCs w:val="24"/>
        </w:rPr>
        <w:t xml:space="preserve"> (“</w:t>
      </w:r>
      <w:r w:rsidR="00AD3506" w:rsidRPr="00E137E5">
        <w:rPr>
          <w:rFonts w:cs="Times New Roman"/>
          <w:b/>
          <w:bCs/>
          <w:szCs w:val="24"/>
        </w:rPr>
        <w:t>MYT GRC</w:t>
      </w:r>
      <w:r w:rsidR="00AD3506">
        <w:rPr>
          <w:rFonts w:cs="Times New Roman"/>
          <w:szCs w:val="24"/>
        </w:rPr>
        <w:t xml:space="preserve">”) </w:t>
      </w:r>
      <w:r w:rsidR="00A108FF" w:rsidRPr="007844A9">
        <w:rPr>
          <w:rFonts w:cs="Times New Roman"/>
          <w:szCs w:val="24"/>
        </w:rPr>
        <w:t>and a member of the Singapore Democratic Party. In the general election held in September 2015, she</w:t>
      </w:r>
      <w:r w:rsidR="00A108FF">
        <w:rPr>
          <w:rFonts w:cs="Times New Roman"/>
          <w:szCs w:val="24"/>
        </w:rPr>
        <w:t>,</w:t>
      </w:r>
      <w:r w:rsidR="00A108FF" w:rsidRPr="00D53507">
        <w:rPr>
          <w:rFonts w:cs="Times New Roman"/>
          <w:szCs w:val="24"/>
        </w:rPr>
        <w:t xml:space="preserve"> </w:t>
      </w:r>
      <w:r w:rsidR="00A108FF" w:rsidRPr="007844A9">
        <w:rPr>
          <w:rFonts w:cs="Times New Roman"/>
          <w:szCs w:val="24"/>
        </w:rPr>
        <w:t>along with three other individuals</w:t>
      </w:r>
      <w:r w:rsidR="00A108FF">
        <w:rPr>
          <w:rFonts w:cs="Times New Roman"/>
          <w:szCs w:val="24"/>
        </w:rPr>
        <w:t>,</w:t>
      </w:r>
      <w:r w:rsidR="00A108FF" w:rsidRPr="007844A9">
        <w:rPr>
          <w:rFonts w:cs="Times New Roman"/>
          <w:szCs w:val="24"/>
        </w:rPr>
        <w:t xml:space="preserve"> contested </w:t>
      </w:r>
      <w:r w:rsidR="00AD3506">
        <w:rPr>
          <w:rFonts w:cs="Times New Roman"/>
          <w:szCs w:val="24"/>
        </w:rPr>
        <w:t>the MYT GRC</w:t>
      </w:r>
      <w:r w:rsidR="00AC5709">
        <w:rPr>
          <w:rFonts w:cs="Times New Roman"/>
          <w:szCs w:val="24"/>
        </w:rPr>
        <w:t xml:space="preserve"> </w:t>
      </w:r>
      <w:r w:rsidR="00A108FF" w:rsidRPr="007844A9">
        <w:rPr>
          <w:rFonts w:cs="Times New Roman"/>
          <w:szCs w:val="24"/>
        </w:rPr>
        <w:t xml:space="preserve">under the Singapore Democratic Party’s banner. </w:t>
      </w:r>
      <w:r w:rsidR="00A108FF">
        <w:rPr>
          <w:rFonts w:cs="Times New Roman"/>
          <w:szCs w:val="24"/>
        </w:rPr>
        <w:t>However, a</w:t>
      </w:r>
      <w:r w:rsidR="00A108FF" w:rsidRPr="007844A9">
        <w:rPr>
          <w:rFonts w:cs="Times New Roman"/>
          <w:szCs w:val="24"/>
        </w:rPr>
        <w:t xml:space="preserve"> team from the People’s Action Party</w:t>
      </w:r>
      <w:r w:rsidR="00A108FF">
        <w:rPr>
          <w:rFonts w:cs="Times New Roman"/>
          <w:szCs w:val="24"/>
        </w:rPr>
        <w:t>, including</w:t>
      </w:r>
      <w:r w:rsidR="00A108FF" w:rsidRPr="007844A9">
        <w:rPr>
          <w:rFonts w:cs="Times New Roman"/>
          <w:szCs w:val="24"/>
        </w:rPr>
        <w:t xml:space="preserve"> Mdm Halimah</w:t>
      </w:r>
      <w:r w:rsidR="00F379F8">
        <w:rPr>
          <w:rFonts w:cs="Times New Roman"/>
          <w:szCs w:val="24"/>
        </w:rPr>
        <w:t xml:space="preserve"> Yacob (“</w:t>
      </w:r>
      <w:r w:rsidR="00F379F8">
        <w:rPr>
          <w:rFonts w:cs="Times New Roman"/>
          <w:b/>
          <w:bCs/>
          <w:szCs w:val="24"/>
        </w:rPr>
        <w:t>Mdm Halimah</w:t>
      </w:r>
      <w:r w:rsidR="00F379F8">
        <w:rPr>
          <w:rFonts w:cs="Times New Roman"/>
          <w:szCs w:val="24"/>
        </w:rPr>
        <w:t>”)</w:t>
      </w:r>
      <w:r w:rsidR="00A108FF">
        <w:rPr>
          <w:rFonts w:cs="Times New Roman"/>
          <w:szCs w:val="24"/>
        </w:rPr>
        <w:t>,</w:t>
      </w:r>
      <w:r w:rsidR="00A108FF" w:rsidRPr="007844A9">
        <w:rPr>
          <w:rFonts w:cs="Times New Roman"/>
          <w:szCs w:val="24"/>
        </w:rPr>
        <w:t xml:space="preserve"> </w:t>
      </w:r>
      <w:r w:rsidR="00A108FF">
        <w:rPr>
          <w:rFonts w:cs="Times New Roman"/>
          <w:szCs w:val="24"/>
        </w:rPr>
        <w:t xml:space="preserve">eventually </w:t>
      </w:r>
      <w:r w:rsidR="00A108FF" w:rsidRPr="007844A9">
        <w:rPr>
          <w:rFonts w:cs="Times New Roman"/>
          <w:szCs w:val="24"/>
        </w:rPr>
        <w:t>won</w:t>
      </w:r>
      <w:r w:rsidR="00A108FF">
        <w:rPr>
          <w:rFonts w:cs="Times New Roman"/>
          <w:szCs w:val="24"/>
        </w:rPr>
        <w:t xml:space="preserve"> th</w:t>
      </w:r>
      <w:r w:rsidR="00B1413B">
        <w:rPr>
          <w:rFonts w:cs="Times New Roman"/>
          <w:szCs w:val="24"/>
        </w:rPr>
        <w:t>at</w:t>
      </w:r>
      <w:r w:rsidR="00A108FF">
        <w:rPr>
          <w:rFonts w:cs="Times New Roman"/>
          <w:szCs w:val="24"/>
        </w:rPr>
        <w:t xml:space="preserve"> contest</w:t>
      </w:r>
      <w:r w:rsidR="00A108FF" w:rsidRPr="007844A9">
        <w:rPr>
          <w:rFonts w:cs="Times New Roman"/>
          <w:szCs w:val="24"/>
        </w:rPr>
        <w:t xml:space="preserve">. Mdm Halimah was the only minority community candidate of that team. </w:t>
      </w:r>
      <w:r w:rsidR="00A108FF">
        <w:rPr>
          <w:rFonts w:cs="Times New Roman"/>
          <w:szCs w:val="24"/>
        </w:rPr>
        <w:t>Then o</w:t>
      </w:r>
      <w:r w:rsidR="00A108FF" w:rsidRPr="007844A9">
        <w:rPr>
          <w:rFonts w:cs="Times New Roman"/>
          <w:szCs w:val="24"/>
        </w:rPr>
        <w:t>n 7 August 2017, Mdm Halimah resigned her seat as a Member for MYT GRC</w:t>
      </w:r>
      <w:r w:rsidR="00A108FF">
        <w:rPr>
          <w:rFonts w:cs="Times New Roman"/>
          <w:szCs w:val="24"/>
        </w:rPr>
        <w:t>,</w:t>
      </w:r>
      <w:r w:rsidR="00A108FF" w:rsidRPr="007844A9">
        <w:rPr>
          <w:rFonts w:cs="Times New Roman"/>
          <w:szCs w:val="24"/>
        </w:rPr>
        <w:t xml:space="preserve"> to stand for the 2017 Presidential Election. No by-election</w:t>
      </w:r>
      <w:r w:rsidR="001B7AA7">
        <w:rPr>
          <w:rFonts w:cs="Times New Roman"/>
          <w:szCs w:val="24"/>
        </w:rPr>
        <w:t xml:space="preserve"> was called, and</w:t>
      </w:r>
      <w:r w:rsidR="00A108FF" w:rsidRPr="007844A9">
        <w:rPr>
          <w:rFonts w:cs="Times New Roman"/>
          <w:szCs w:val="24"/>
        </w:rPr>
        <w:t xml:space="preserve"> MYT GRC continue</w:t>
      </w:r>
      <w:r w:rsidR="00A108FF">
        <w:rPr>
          <w:rFonts w:cs="Times New Roman"/>
          <w:szCs w:val="24"/>
        </w:rPr>
        <w:t>d</w:t>
      </w:r>
      <w:r w:rsidR="00A108FF" w:rsidRPr="007844A9">
        <w:rPr>
          <w:rFonts w:cs="Times New Roman"/>
          <w:szCs w:val="24"/>
        </w:rPr>
        <w:t xml:space="preserve"> to be represented by the remaining Members of the People's Action Party team which won that constituency.</w:t>
      </w:r>
    </w:p>
    <w:p w14:paraId="7C530DD0" w14:textId="77777777" w:rsidR="00A108FF" w:rsidRDefault="00A108FF" w:rsidP="00E97E36">
      <w:pPr>
        <w:widowControl w:val="0"/>
        <w:spacing w:after="0" w:line="240" w:lineRule="auto"/>
        <w:jc w:val="both"/>
        <w:rPr>
          <w:rFonts w:cs="Times New Roman"/>
          <w:szCs w:val="24"/>
        </w:rPr>
      </w:pPr>
    </w:p>
    <w:p w14:paraId="5119E8F0" w14:textId="31B0D06C" w:rsidR="00635EB5" w:rsidRDefault="00BD74FF" w:rsidP="00E97E36">
      <w:pPr>
        <w:widowControl w:val="0"/>
        <w:spacing w:after="0" w:line="240" w:lineRule="auto"/>
        <w:jc w:val="both"/>
        <w:rPr>
          <w:rFonts w:cs="Times New Roman"/>
          <w:szCs w:val="24"/>
        </w:rPr>
      </w:pPr>
      <w:r>
        <w:rPr>
          <w:rFonts w:cs="Times New Roman"/>
          <w:szCs w:val="24"/>
        </w:rPr>
        <w:t xml:space="preserve">Dr Wong </w:t>
      </w:r>
      <w:r w:rsidR="005C42C9">
        <w:rPr>
          <w:rFonts w:cs="Times New Roman"/>
          <w:szCs w:val="24"/>
        </w:rPr>
        <w:t xml:space="preserve">then </w:t>
      </w:r>
      <w:r w:rsidR="000A1E08">
        <w:rPr>
          <w:rFonts w:cs="Times New Roman"/>
          <w:szCs w:val="24"/>
        </w:rPr>
        <w:t xml:space="preserve">filed a lawsuit </w:t>
      </w:r>
      <w:r w:rsidR="00A81438">
        <w:rPr>
          <w:rFonts w:cs="Times New Roman"/>
          <w:szCs w:val="24"/>
        </w:rPr>
        <w:t>seeking</w:t>
      </w:r>
      <w:r w:rsidR="0011305C">
        <w:rPr>
          <w:rFonts w:cs="Times New Roman"/>
          <w:szCs w:val="24"/>
        </w:rPr>
        <w:t>, among other things,</w:t>
      </w:r>
      <w:r w:rsidR="000A1E08">
        <w:rPr>
          <w:rFonts w:cs="Times New Roman"/>
          <w:szCs w:val="24"/>
        </w:rPr>
        <w:t xml:space="preserve"> a </w:t>
      </w:r>
      <w:r w:rsidR="000A1E08" w:rsidRPr="007844A9">
        <w:rPr>
          <w:rFonts w:cs="Times New Roman"/>
          <w:szCs w:val="24"/>
        </w:rPr>
        <w:t xml:space="preserve">mandatory order that the three remaining Members of the </w:t>
      </w:r>
      <w:r w:rsidR="00936246">
        <w:rPr>
          <w:rFonts w:cs="Times New Roman"/>
          <w:szCs w:val="24"/>
        </w:rPr>
        <w:t xml:space="preserve">MYT </w:t>
      </w:r>
      <w:r w:rsidR="000A1E08" w:rsidRPr="007844A9">
        <w:rPr>
          <w:rFonts w:cs="Times New Roman"/>
          <w:szCs w:val="24"/>
        </w:rPr>
        <w:t xml:space="preserve">GRC vacate their seats, and that a by-election </w:t>
      </w:r>
      <w:r w:rsidR="007A0BEB">
        <w:rPr>
          <w:rFonts w:cs="Times New Roman"/>
          <w:szCs w:val="24"/>
        </w:rPr>
        <w:t xml:space="preserve">then </w:t>
      </w:r>
      <w:r w:rsidR="000A1E08" w:rsidRPr="007844A9">
        <w:rPr>
          <w:rFonts w:cs="Times New Roman"/>
          <w:szCs w:val="24"/>
        </w:rPr>
        <w:t xml:space="preserve">be held </w:t>
      </w:r>
      <w:r w:rsidR="003D67C5">
        <w:rPr>
          <w:rFonts w:cs="Times New Roman"/>
          <w:szCs w:val="24"/>
        </w:rPr>
        <w:t xml:space="preserve">for </w:t>
      </w:r>
      <w:r w:rsidR="00936246">
        <w:rPr>
          <w:rFonts w:cs="Times New Roman"/>
          <w:szCs w:val="24"/>
        </w:rPr>
        <w:t>the</w:t>
      </w:r>
      <w:r w:rsidR="003D67C5">
        <w:rPr>
          <w:rFonts w:cs="Times New Roman"/>
          <w:szCs w:val="24"/>
        </w:rPr>
        <w:t xml:space="preserve"> GRC</w:t>
      </w:r>
      <w:r w:rsidR="000A1E08" w:rsidRPr="007844A9">
        <w:rPr>
          <w:rFonts w:cs="Times New Roman"/>
          <w:szCs w:val="24"/>
        </w:rPr>
        <w:t>.</w:t>
      </w:r>
      <w:r w:rsidR="009D1DBD">
        <w:rPr>
          <w:rFonts w:cs="Times New Roman"/>
          <w:szCs w:val="24"/>
        </w:rPr>
        <w:t xml:space="preserve"> </w:t>
      </w:r>
      <w:r w:rsidR="002E18C1" w:rsidRPr="00450C1C">
        <w:t>The H</w:t>
      </w:r>
      <w:r w:rsidR="006720F5" w:rsidRPr="00450C1C">
        <w:t>igh Court (“</w:t>
      </w:r>
      <w:r w:rsidR="006720F5" w:rsidRPr="00450C1C">
        <w:rPr>
          <w:b/>
        </w:rPr>
        <w:t>HC</w:t>
      </w:r>
      <w:r w:rsidR="006720F5" w:rsidRPr="00450C1C">
        <w:t>”)</w:t>
      </w:r>
      <w:r w:rsidR="002E18C1" w:rsidRPr="00450C1C">
        <w:t xml:space="preserve"> </w:t>
      </w:r>
      <w:r w:rsidR="009237D0">
        <w:t xml:space="preserve">declined to </w:t>
      </w:r>
      <w:r w:rsidR="009C3BA9">
        <w:t>award such an order</w:t>
      </w:r>
      <w:r w:rsidR="00AD5DDD">
        <w:rPr>
          <w:rFonts w:cs="Times New Roman"/>
          <w:szCs w:val="24"/>
        </w:rPr>
        <w:t>.</w:t>
      </w:r>
      <w:r w:rsidR="002E18C1">
        <w:rPr>
          <w:rFonts w:cs="Times New Roman"/>
          <w:szCs w:val="24"/>
        </w:rPr>
        <w:t xml:space="preserve"> </w:t>
      </w:r>
    </w:p>
    <w:p w14:paraId="1F4120CC" w14:textId="77777777" w:rsidR="00635EB5" w:rsidRDefault="00635EB5" w:rsidP="00E97E36">
      <w:pPr>
        <w:widowControl w:val="0"/>
        <w:spacing w:after="0" w:line="240" w:lineRule="auto"/>
        <w:jc w:val="both"/>
        <w:rPr>
          <w:rFonts w:cs="Times New Roman"/>
          <w:szCs w:val="24"/>
        </w:rPr>
      </w:pPr>
    </w:p>
    <w:p w14:paraId="404F53CA" w14:textId="6A0A1128" w:rsidR="002031FF" w:rsidRDefault="002E18C1" w:rsidP="00E97E36">
      <w:pPr>
        <w:widowControl w:val="0"/>
        <w:spacing w:after="0" w:line="240" w:lineRule="auto"/>
        <w:jc w:val="both"/>
        <w:rPr>
          <w:rFonts w:cs="Times New Roman"/>
          <w:szCs w:val="24"/>
        </w:rPr>
      </w:pPr>
      <w:r>
        <w:rPr>
          <w:rFonts w:cs="Times New Roman"/>
          <w:szCs w:val="24"/>
        </w:rPr>
        <w:t>On appeal, t</w:t>
      </w:r>
      <w:r w:rsidR="000A1E08">
        <w:rPr>
          <w:rFonts w:cs="Times New Roman"/>
          <w:szCs w:val="24"/>
        </w:rPr>
        <w:t xml:space="preserve">he CA found that the key </w:t>
      </w:r>
      <w:r w:rsidR="00033781">
        <w:rPr>
          <w:rFonts w:cs="Times New Roman"/>
          <w:szCs w:val="24"/>
        </w:rPr>
        <w:t xml:space="preserve">question </w:t>
      </w:r>
      <w:r w:rsidR="000A1E08">
        <w:rPr>
          <w:rFonts w:cs="Times New Roman"/>
          <w:szCs w:val="24"/>
        </w:rPr>
        <w:t>was the interpre</w:t>
      </w:r>
      <w:r w:rsidR="002031FF">
        <w:rPr>
          <w:rFonts w:cs="Times New Roman"/>
          <w:szCs w:val="24"/>
        </w:rPr>
        <w:t>tation of Article 49(1)</w:t>
      </w:r>
      <w:r w:rsidR="0091676E">
        <w:rPr>
          <w:rFonts w:cs="Times New Roman"/>
          <w:szCs w:val="24"/>
        </w:rPr>
        <w:t xml:space="preserve"> </w:t>
      </w:r>
      <w:r w:rsidR="000E3376" w:rsidRPr="001E0D6D">
        <w:rPr>
          <w:lang w:val="en-US"/>
        </w:rPr>
        <w:t xml:space="preserve">of the </w:t>
      </w:r>
      <w:r w:rsidR="00033781">
        <w:rPr>
          <w:lang w:val="en-US"/>
        </w:rPr>
        <w:t xml:space="preserve">Singapore </w:t>
      </w:r>
      <w:r w:rsidR="000E3376" w:rsidRPr="001E0D6D">
        <w:rPr>
          <w:lang w:val="en-US"/>
        </w:rPr>
        <w:t>Constitution (1985 Rev Ed, 1999 Reprint) (</w:t>
      </w:r>
      <w:r w:rsidR="00A35A0D">
        <w:rPr>
          <w:lang w:val="en-US"/>
        </w:rPr>
        <w:t xml:space="preserve">the </w:t>
      </w:r>
      <w:r w:rsidR="000E3376" w:rsidRPr="001E0D6D">
        <w:rPr>
          <w:lang w:val="en-US"/>
        </w:rPr>
        <w:t>“</w:t>
      </w:r>
      <w:r w:rsidR="000E3376" w:rsidRPr="002C5088">
        <w:rPr>
          <w:b/>
          <w:bCs/>
          <w:lang w:val="en-US"/>
        </w:rPr>
        <w:t>Constitution</w:t>
      </w:r>
      <w:r w:rsidR="000E3376" w:rsidRPr="001E0D6D">
        <w:rPr>
          <w:lang w:val="en-US"/>
        </w:rPr>
        <w:t>”)</w:t>
      </w:r>
      <w:r w:rsidR="00A83E75">
        <w:rPr>
          <w:lang w:val="en-US"/>
        </w:rPr>
        <w:t>.</w:t>
      </w:r>
      <w:r w:rsidR="000E3376" w:rsidRPr="001E0D6D">
        <w:rPr>
          <w:lang w:val="en-US"/>
        </w:rPr>
        <w:t xml:space="preserve"> </w:t>
      </w:r>
      <w:r w:rsidR="00A83E75">
        <w:rPr>
          <w:lang w:val="en-US"/>
        </w:rPr>
        <w:t xml:space="preserve">Article 49(1) </w:t>
      </w:r>
      <w:r w:rsidR="000E3376" w:rsidRPr="001E0D6D">
        <w:rPr>
          <w:lang w:val="en-US"/>
        </w:rPr>
        <w:t>states</w:t>
      </w:r>
      <w:r w:rsidR="009432D1">
        <w:rPr>
          <w:lang w:val="en-US"/>
        </w:rPr>
        <w:t>, essentially,</w:t>
      </w:r>
      <w:r w:rsidR="000E3376" w:rsidRPr="001E0D6D">
        <w:rPr>
          <w:lang w:val="en-US"/>
        </w:rPr>
        <w:t xml:space="preserve"> that a vacant </w:t>
      </w:r>
      <w:r w:rsidR="00121F70">
        <w:rPr>
          <w:lang w:val="en-US"/>
        </w:rPr>
        <w:t>“</w:t>
      </w:r>
      <w:r w:rsidR="000E3376" w:rsidRPr="001E0D6D">
        <w:rPr>
          <w:lang w:val="en-US"/>
        </w:rPr>
        <w:t>seat of a</w:t>
      </w:r>
      <w:r w:rsidR="00121F70">
        <w:rPr>
          <w:lang w:val="en-US"/>
        </w:rPr>
        <w:t xml:space="preserve"> Member”</w:t>
      </w:r>
      <w:r w:rsidR="000E3376" w:rsidRPr="001E0D6D">
        <w:rPr>
          <w:lang w:val="en-US"/>
        </w:rPr>
        <w:t xml:space="preserve"> shall be filled by election.</w:t>
      </w:r>
      <w:r w:rsidR="000E3376">
        <w:rPr>
          <w:lang w:val="en-US"/>
        </w:rPr>
        <w:t xml:space="preserve"> </w:t>
      </w:r>
      <w:r w:rsidR="00313E93">
        <w:rPr>
          <w:rFonts w:cs="Times New Roman"/>
          <w:szCs w:val="24"/>
        </w:rPr>
        <w:t>The CA</w:t>
      </w:r>
      <w:r w:rsidR="002031FF">
        <w:rPr>
          <w:rFonts w:cs="Times New Roman"/>
          <w:szCs w:val="24"/>
        </w:rPr>
        <w:t xml:space="preserve"> held</w:t>
      </w:r>
      <w:r w:rsidR="00121F70">
        <w:rPr>
          <w:rFonts w:cs="Times New Roman"/>
          <w:szCs w:val="24"/>
        </w:rPr>
        <w:t xml:space="preserve"> that</w:t>
      </w:r>
      <w:r w:rsidR="002031FF">
        <w:rPr>
          <w:rFonts w:cs="Times New Roman"/>
          <w:szCs w:val="24"/>
        </w:rPr>
        <w:t>:</w:t>
      </w:r>
    </w:p>
    <w:p w14:paraId="17B447DD" w14:textId="0AB07DC4" w:rsidR="002031FF" w:rsidRDefault="0091499E" w:rsidP="00E97E36">
      <w:pPr>
        <w:pStyle w:val="ListParagraph"/>
        <w:widowControl w:val="0"/>
        <w:numPr>
          <w:ilvl w:val="0"/>
          <w:numId w:val="8"/>
        </w:numPr>
        <w:spacing w:after="0" w:line="240" w:lineRule="auto"/>
        <w:jc w:val="both"/>
        <w:rPr>
          <w:rFonts w:cs="Times New Roman"/>
          <w:szCs w:val="24"/>
        </w:rPr>
      </w:pPr>
      <w:r w:rsidRPr="002031FF">
        <w:rPr>
          <w:rFonts w:cs="Times New Roman"/>
          <w:szCs w:val="24"/>
        </w:rPr>
        <w:t>the words</w:t>
      </w:r>
      <w:r w:rsidR="00EB19E2" w:rsidRPr="002031FF">
        <w:rPr>
          <w:rFonts w:cs="Times New Roman"/>
          <w:szCs w:val="24"/>
        </w:rPr>
        <w:t xml:space="preserve"> </w:t>
      </w:r>
      <w:r w:rsidRPr="002031FF">
        <w:rPr>
          <w:rFonts w:cs="Times New Roman"/>
          <w:szCs w:val="24"/>
        </w:rPr>
        <w:t>“seat of a Member” refer</w:t>
      </w:r>
      <w:r w:rsidR="006C51E7">
        <w:rPr>
          <w:rFonts w:cs="Times New Roman"/>
          <w:szCs w:val="24"/>
        </w:rPr>
        <w:t>red</w:t>
      </w:r>
      <w:r w:rsidRPr="002031FF">
        <w:rPr>
          <w:rFonts w:cs="Times New Roman"/>
          <w:szCs w:val="24"/>
        </w:rPr>
        <w:t xml:space="preserve"> only to the seat of an SMC Member</w:t>
      </w:r>
      <w:r w:rsidR="001C4B8E">
        <w:rPr>
          <w:rFonts w:cs="Times New Roman"/>
          <w:szCs w:val="24"/>
        </w:rPr>
        <w:t xml:space="preserve"> (and not a GRC Member)</w:t>
      </w:r>
      <w:r w:rsidR="006C51E7">
        <w:rPr>
          <w:rFonts w:cs="Times New Roman"/>
          <w:szCs w:val="24"/>
        </w:rPr>
        <w:t>;</w:t>
      </w:r>
      <w:r w:rsidR="009B17C7" w:rsidRPr="002031FF">
        <w:rPr>
          <w:rFonts w:cs="Times New Roman"/>
          <w:szCs w:val="24"/>
        </w:rPr>
        <w:t xml:space="preserve"> </w:t>
      </w:r>
      <w:r w:rsidR="006C51E7">
        <w:rPr>
          <w:rFonts w:cs="Times New Roman"/>
          <w:szCs w:val="24"/>
        </w:rPr>
        <w:t>and</w:t>
      </w:r>
    </w:p>
    <w:p w14:paraId="48316637" w14:textId="0AC0739F" w:rsidR="006C51E7" w:rsidRPr="0066059D" w:rsidRDefault="00BB119D" w:rsidP="00E97E36">
      <w:pPr>
        <w:pStyle w:val="ListParagraph"/>
        <w:widowControl w:val="0"/>
        <w:numPr>
          <w:ilvl w:val="0"/>
          <w:numId w:val="8"/>
        </w:numPr>
        <w:spacing w:after="0" w:line="240" w:lineRule="auto"/>
        <w:jc w:val="both"/>
        <w:rPr>
          <w:rFonts w:cs="Times New Roman"/>
          <w:szCs w:val="24"/>
        </w:rPr>
      </w:pPr>
      <w:r>
        <w:rPr>
          <w:rFonts w:cs="Times New Roman"/>
          <w:szCs w:val="24"/>
        </w:rPr>
        <w:t xml:space="preserve">requiring </w:t>
      </w:r>
      <w:r w:rsidR="006C51E7">
        <w:rPr>
          <w:rFonts w:cs="Times New Roman"/>
          <w:szCs w:val="24"/>
        </w:rPr>
        <w:t xml:space="preserve">the </w:t>
      </w:r>
      <w:r>
        <w:rPr>
          <w:rFonts w:cs="Times New Roman"/>
          <w:szCs w:val="24"/>
        </w:rPr>
        <w:t xml:space="preserve">remaining Members of a GRC to vacate their seats </w:t>
      </w:r>
      <w:r w:rsidR="006C51E7">
        <w:rPr>
          <w:rFonts w:cs="Times New Roman"/>
          <w:szCs w:val="24"/>
        </w:rPr>
        <w:t xml:space="preserve">in such an event was </w:t>
      </w:r>
      <w:r>
        <w:rPr>
          <w:rFonts w:cs="Times New Roman"/>
          <w:szCs w:val="24"/>
        </w:rPr>
        <w:t xml:space="preserve">contrary to Parliament’s intention </w:t>
      </w:r>
      <w:r w:rsidR="006C51E7">
        <w:rPr>
          <w:rFonts w:cs="Times New Roman"/>
          <w:szCs w:val="24"/>
        </w:rPr>
        <w:t>in</w:t>
      </w:r>
      <w:r w:rsidR="00A72C0F">
        <w:rPr>
          <w:rFonts w:cs="Times New Roman"/>
          <w:szCs w:val="24"/>
        </w:rPr>
        <w:t xml:space="preserve"> implement</w:t>
      </w:r>
      <w:r w:rsidR="006C51E7">
        <w:rPr>
          <w:rFonts w:cs="Times New Roman"/>
          <w:szCs w:val="24"/>
        </w:rPr>
        <w:t>ing</w:t>
      </w:r>
      <w:r w:rsidR="00A72C0F">
        <w:rPr>
          <w:rFonts w:cs="Times New Roman"/>
          <w:szCs w:val="24"/>
        </w:rPr>
        <w:t xml:space="preserve"> the GRC scheme</w:t>
      </w:r>
      <w:r w:rsidR="006C51E7">
        <w:rPr>
          <w:rFonts w:cs="Times New Roman"/>
          <w:szCs w:val="24"/>
        </w:rPr>
        <w:t>.</w:t>
      </w:r>
      <w:r w:rsidR="000B102F">
        <w:rPr>
          <w:rFonts w:cs="Times New Roman"/>
          <w:szCs w:val="24"/>
        </w:rPr>
        <w:t xml:space="preserve"> Parliamen</w:t>
      </w:r>
      <w:r w:rsidR="002965BD">
        <w:rPr>
          <w:rFonts w:cs="Times New Roman"/>
          <w:szCs w:val="24"/>
        </w:rPr>
        <w:t xml:space="preserve">t intended that there would be no requirement to call a by-election </w:t>
      </w:r>
      <w:r w:rsidR="00984980">
        <w:rPr>
          <w:rFonts w:cs="Times New Roman"/>
          <w:szCs w:val="24"/>
        </w:rPr>
        <w:t xml:space="preserve">where only one </w:t>
      </w:r>
      <w:r w:rsidR="002965BD">
        <w:rPr>
          <w:rFonts w:cs="Times New Roman"/>
          <w:szCs w:val="24"/>
        </w:rPr>
        <w:t>Member of a GRC vacate</w:t>
      </w:r>
      <w:r w:rsidR="00984980">
        <w:rPr>
          <w:rFonts w:cs="Times New Roman"/>
          <w:szCs w:val="24"/>
        </w:rPr>
        <w:t>d</w:t>
      </w:r>
      <w:r w:rsidR="002965BD">
        <w:rPr>
          <w:rFonts w:cs="Times New Roman"/>
          <w:szCs w:val="24"/>
        </w:rPr>
        <w:t xml:space="preserve"> his or her seat</w:t>
      </w:r>
      <w:r w:rsidR="00984980">
        <w:rPr>
          <w:rFonts w:cs="Times New Roman"/>
          <w:szCs w:val="24"/>
        </w:rPr>
        <w:t xml:space="preserve">, even </w:t>
      </w:r>
      <w:r w:rsidR="00C14206">
        <w:rPr>
          <w:rFonts w:cs="Times New Roman"/>
          <w:szCs w:val="24"/>
        </w:rPr>
        <w:t>if such member was</w:t>
      </w:r>
      <w:r w:rsidR="008136D8">
        <w:rPr>
          <w:rFonts w:cs="Times New Roman"/>
          <w:szCs w:val="24"/>
        </w:rPr>
        <w:t xml:space="preserve"> from</w:t>
      </w:r>
      <w:r w:rsidR="00C14206">
        <w:rPr>
          <w:rFonts w:cs="Times New Roman"/>
          <w:szCs w:val="24"/>
        </w:rPr>
        <w:t xml:space="preserve"> </w:t>
      </w:r>
      <w:r w:rsidR="001467DD">
        <w:rPr>
          <w:rFonts w:cs="Times New Roman"/>
          <w:szCs w:val="24"/>
        </w:rPr>
        <w:t xml:space="preserve">a minority </w:t>
      </w:r>
      <w:bookmarkStart w:id="0" w:name="_GoBack"/>
      <w:bookmarkEnd w:id="0"/>
      <w:r w:rsidR="00B14EC5">
        <w:rPr>
          <w:rFonts w:cs="Times New Roman"/>
          <w:szCs w:val="24"/>
        </w:rPr>
        <w:t>racial group</w:t>
      </w:r>
      <w:r w:rsidR="002965BD">
        <w:rPr>
          <w:rFonts w:cs="Times New Roman"/>
          <w:szCs w:val="24"/>
        </w:rPr>
        <w:t>.</w:t>
      </w:r>
    </w:p>
    <w:p w14:paraId="06775806" w14:textId="44C50185" w:rsidR="001A66A3" w:rsidRPr="006C51E7" w:rsidRDefault="006C51E7" w:rsidP="00E97E36">
      <w:pPr>
        <w:widowControl w:val="0"/>
        <w:spacing w:after="0" w:line="240" w:lineRule="auto"/>
        <w:jc w:val="both"/>
        <w:rPr>
          <w:rFonts w:cs="Times New Roman"/>
          <w:szCs w:val="24"/>
        </w:rPr>
      </w:pPr>
      <w:r>
        <w:rPr>
          <w:rFonts w:cs="Times New Roman"/>
          <w:szCs w:val="24"/>
        </w:rPr>
        <w:t xml:space="preserve">As such the CA concluded </w:t>
      </w:r>
      <w:r w:rsidR="002031FF" w:rsidRPr="006C51E7">
        <w:rPr>
          <w:rFonts w:cs="Times New Roman"/>
          <w:szCs w:val="24"/>
        </w:rPr>
        <w:t>t</w:t>
      </w:r>
      <w:r w:rsidR="0091499E" w:rsidRPr="006C51E7">
        <w:rPr>
          <w:rFonts w:cs="Times New Roman"/>
          <w:szCs w:val="24"/>
        </w:rPr>
        <w:t xml:space="preserve">here </w:t>
      </w:r>
      <w:r>
        <w:rPr>
          <w:rFonts w:cs="Times New Roman"/>
          <w:szCs w:val="24"/>
        </w:rPr>
        <w:t>was</w:t>
      </w:r>
      <w:r w:rsidRPr="006C51E7">
        <w:rPr>
          <w:rFonts w:cs="Times New Roman"/>
          <w:szCs w:val="24"/>
        </w:rPr>
        <w:t xml:space="preserve"> </w:t>
      </w:r>
      <w:r w:rsidR="0091499E" w:rsidRPr="006C51E7">
        <w:rPr>
          <w:rFonts w:cs="Times New Roman"/>
          <w:szCs w:val="24"/>
        </w:rPr>
        <w:t xml:space="preserve">no </w:t>
      </w:r>
      <w:r>
        <w:rPr>
          <w:rFonts w:cs="Times New Roman"/>
          <w:szCs w:val="24"/>
        </w:rPr>
        <w:t xml:space="preserve">duty for </w:t>
      </w:r>
      <w:r w:rsidR="00DF7B1E">
        <w:rPr>
          <w:rFonts w:cs="Times New Roman"/>
          <w:szCs w:val="24"/>
        </w:rPr>
        <w:t xml:space="preserve">the Government </w:t>
      </w:r>
      <w:r>
        <w:rPr>
          <w:rFonts w:cs="Times New Roman"/>
          <w:szCs w:val="24"/>
        </w:rPr>
        <w:t>to call</w:t>
      </w:r>
      <w:r w:rsidR="0091499E" w:rsidRPr="006C51E7">
        <w:rPr>
          <w:rFonts w:cs="Times New Roman"/>
          <w:szCs w:val="24"/>
        </w:rPr>
        <w:t xml:space="preserve"> a by-election </w:t>
      </w:r>
      <w:r w:rsidR="0091499E" w:rsidRPr="00C64272">
        <w:rPr>
          <w:rFonts w:cs="Times New Roman"/>
          <w:szCs w:val="24"/>
        </w:rPr>
        <w:t xml:space="preserve">when only one </w:t>
      </w:r>
      <w:r>
        <w:rPr>
          <w:rFonts w:cs="Times New Roman"/>
          <w:szCs w:val="24"/>
        </w:rPr>
        <w:t>Member of a GRC</w:t>
      </w:r>
      <w:r w:rsidRPr="00C64272">
        <w:rPr>
          <w:rFonts w:cs="Times New Roman"/>
          <w:szCs w:val="24"/>
        </w:rPr>
        <w:t xml:space="preserve"> </w:t>
      </w:r>
      <w:r w:rsidR="0091499E" w:rsidRPr="00C64272">
        <w:rPr>
          <w:rFonts w:cs="Times New Roman"/>
          <w:szCs w:val="24"/>
        </w:rPr>
        <w:t xml:space="preserve">vacated </w:t>
      </w:r>
      <w:r>
        <w:rPr>
          <w:rFonts w:cs="Times New Roman"/>
          <w:szCs w:val="24"/>
        </w:rPr>
        <w:t>his or her</w:t>
      </w:r>
      <w:r w:rsidRPr="00C64272">
        <w:rPr>
          <w:rFonts w:cs="Times New Roman"/>
          <w:szCs w:val="24"/>
        </w:rPr>
        <w:t xml:space="preserve"> </w:t>
      </w:r>
      <w:r w:rsidR="0091499E" w:rsidRPr="00C64272">
        <w:rPr>
          <w:rFonts w:cs="Times New Roman"/>
          <w:szCs w:val="24"/>
        </w:rPr>
        <w:t>seat</w:t>
      </w:r>
      <w:r w:rsidR="00EB19E2" w:rsidRPr="00C64272">
        <w:rPr>
          <w:rFonts w:cs="Times New Roman"/>
          <w:szCs w:val="24"/>
        </w:rPr>
        <w:t>.</w:t>
      </w:r>
    </w:p>
    <w:p w14:paraId="42894222" w14:textId="1AAC6B7C" w:rsidR="0016565F" w:rsidRDefault="0016565F" w:rsidP="00E97E36">
      <w:pPr>
        <w:widowControl w:val="0"/>
        <w:spacing w:after="0" w:line="240" w:lineRule="auto"/>
        <w:jc w:val="both"/>
        <w:rPr>
          <w:rFonts w:cs="Times New Roman"/>
          <w:szCs w:val="24"/>
        </w:rPr>
      </w:pPr>
    </w:p>
    <w:p w14:paraId="0FFB0489" w14:textId="617A7E34" w:rsidR="0096003C" w:rsidRDefault="0096003C" w:rsidP="00E97E36">
      <w:pPr>
        <w:pStyle w:val="Heading1"/>
        <w:widowControl w:val="0"/>
        <w:spacing w:after="0" w:line="240" w:lineRule="auto"/>
        <w:ind w:left="567" w:hanging="567"/>
        <w:jc w:val="both"/>
      </w:pPr>
      <w:r>
        <w:t>Issues on appeal</w:t>
      </w:r>
    </w:p>
    <w:p w14:paraId="3D1B4ECB" w14:textId="07D472D4" w:rsidR="0096003C" w:rsidRDefault="00181499" w:rsidP="00E97E36">
      <w:pPr>
        <w:widowControl w:val="0"/>
        <w:spacing w:after="0" w:line="240" w:lineRule="auto"/>
        <w:jc w:val="both"/>
      </w:pPr>
      <w:r>
        <w:t>T</w:t>
      </w:r>
      <w:r w:rsidRPr="00181499">
        <w:t xml:space="preserve">he GRC scheme </w:t>
      </w:r>
      <w:r w:rsidR="003A1623">
        <w:t xml:space="preserve">was </w:t>
      </w:r>
      <w:r w:rsidR="004E3088">
        <w:t>introduced</w:t>
      </w:r>
      <w:r w:rsidRPr="00181499">
        <w:t xml:space="preserve"> in 1988</w:t>
      </w:r>
      <w:r w:rsidR="004E3088">
        <w:t xml:space="preserve"> through certain</w:t>
      </w:r>
      <w:r w:rsidRPr="00181499">
        <w:t xml:space="preserve"> amendments to both the Constitution and the </w:t>
      </w:r>
      <w:r w:rsidRPr="003F0ABB">
        <w:t>Parliamentary Elections Act (Cap</w:t>
      </w:r>
      <w:r w:rsidR="00950BF9" w:rsidRPr="003F0ABB">
        <w:t xml:space="preserve"> </w:t>
      </w:r>
      <w:r w:rsidRPr="003F0ABB">
        <w:t>218, 1985 Rev Ed</w:t>
      </w:r>
      <w:r w:rsidR="00950BF9" w:rsidRPr="003F0ABB">
        <w:t>)</w:t>
      </w:r>
      <w:r w:rsidRPr="003F0ABB">
        <w:t>.</w:t>
      </w:r>
      <w:r w:rsidRPr="00181499">
        <w:t xml:space="preserve"> The key amendment was the insertion </w:t>
      </w:r>
      <w:r w:rsidR="00984980" w:rsidRPr="00181499">
        <w:t xml:space="preserve">of </w:t>
      </w:r>
      <w:r w:rsidR="00984980" w:rsidRPr="001632F0">
        <w:rPr>
          <w:i/>
          <w:iCs/>
        </w:rPr>
        <w:t>Article 39A</w:t>
      </w:r>
      <w:r w:rsidR="00984980" w:rsidRPr="00181499">
        <w:t xml:space="preserve"> </w:t>
      </w:r>
      <w:r w:rsidRPr="00181499">
        <w:t xml:space="preserve">into the Constitution, which provides for the designation of constituencies as GRCs. </w:t>
      </w:r>
      <w:r w:rsidRPr="001632F0">
        <w:rPr>
          <w:i/>
          <w:iCs/>
        </w:rPr>
        <w:t>Article 49</w:t>
      </w:r>
      <w:r w:rsidRPr="00181499">
        <w:t>, which until then had only ever applied to SMCs, was not amended.</w:t>
      </w:r>
      <w:r w:rsidR="00F842D4">
        <w:t xml:space="preserve"> </w:t>
      </w:r>
      <w:r w:rsidR="00097781">
        <w:t xml:space="preserve">The </w:t>
      </w:r>
      <w:r w:rsidR="0096003C">
        <w:t>substantive issues on appeal</w:t>
      </w:r>
      <w:r w:rsidR="00097781">
        <w:t xml:space="preserve"> related to these</w:t>
      </w:r>
      <w:r w:rsidR="00BE03C7">
        <w:t xml:space="preserve"> two</w:t>
      </w:r>
      <w:r w:rsidR="00097781">
        <w:t xml:space="preserve"> provisions</w:t>
      </w:r>
      <w:r w:rsidR="0096003C">
        <w:t>:</w:t>
      </w:r>
      <w:r w:rsidR="00D36568">
        <w:rPr>
          <w:rStyle w:val="FootnoteReference"/>
        </w:rPr>
        <w:footnoteReference w:id="2"/>
      </w:r>
    </w:p>
    <w:p w14:paraId="2F0E6F7C" w14:textId="790A0C31" w:rsidR="0096003C" w:rsidRPr="008A7431" w:rsidRDefault="0096003C" w:rsidP="00E97E36">
      <w:pPr>
        <w:pStyle w:val="ListParagraph"/>
        <w:widowControl w:val="0"/>
        <w:numPr>
          <w:ilvl w:val="0"/>
          <w:numId w:val="27"/>
        </w:numPr>
        <w:spacing w:after="0" w:line="240" w:lineRule="auto"/>
        <w:jc w:val="both"/>
        <w:rPr>
          <w:rFonts w:cs="Times New Roman"/>
          <w:szCs w:val="24"/>
        </w:rPr>
      </w:pPr>
      <w:r w:rsidRPr="008A7431">
        <w:rPr>
          <w:rFonts w:cs="Times New Roman"/>
          <w:szCs w:val="24"/>
        </w:rPr>
        <w:lastRenderedPageBreak/>
        <w:t>Whether Article 49(1) mandated that a by-election be called in MYT GRC;</w:t>
      </w:r>
    </w:p>
    <w:p w14:paraId="57D7B659" w14:textId="651F89FF" w:rsidR="0096003C" w:rsidRPr="00033409" w:rsidRDefault="00A959D7" w:rsidP="00E97E36">
      <w:pPr>
        <w:pStyle w:val="ListParagraph"/>
        <w:widowControl w:val="0"/>
        <w:numPr>
          <w:ilvl w:val="0"/>
          <w:numId w:val="27"/>
        </w:numPr>
        <w:spacing w:after="0" w:line="240" w:lineRule="auto"/>
        <w:jc w:val="both"/>
      </w:pPr>
      <w:r>
        <w:t>W</w:t>
      </w:r>
      <w:r w:rsidR="0096003C" w:rsidRPr="00033409">
        <w:t>hether Art</w:t>
      </w:r>
      <w:r w:rsidR="0096003C">
        <w:t>icle</w:t>
      </w:r>
      <w:r w:rsidR="0096003C" w:rsidRPr="00033409">
        <w:t xml:space="preserve"> 39A require</w:t>
      </w:r>
      <w:r w:rsidR="0096003C">
        <w:t>d</w:t>
      </w:r>
      <w:r w:rsidR="0096003C" w:rsidRPr="00033409">
        <w:t xml:space="preserve"> that a vacancy left by a minority Member of a GRC </w:t>
      </w:r>
      <w:r w:rsidR="0096003C">
        <w:t>(</w:t>
      </w:r>
      <w:r w:rsidR="0096003C" w:rsidRPr="00033409">
        <w:t xml:space="preserve">other than </w:t>
      </w:r>
      <w:r w:rsidR="00DA79D0">
        <w:t>through</w:t>
      </w:r>
      <w:r w:rsidR="00DA79D0" w:rsidRPr="00033409">
        <w:t xml:space="preserve"> </w:t>
      </w:r>
      <w:r w:rsidR="0096003C" w:rsidRPr="00033409">
        <w:t>the dissolution of Parliament</w:t>
      </w:r>
      <w:r w:rsidR="0096003C">
        <w:t>)</w:t>
      </w:r>
      <w:r w:rsidR="0096003C" w:rsidRPr="00033409">
        <w:t xml:space="preserve"> must be filled by a by-election;</w:t>
      </w:r>
      <w:r w:rsidR="00FE5B1D">
        <w:t xml:space="preserve"> and</w:t>
      </w:r>
    </w:p>
    <w:p w14:paraId="488A1BDF" w14:textId="7B27D936" w:rsidR="0096003C" w:rsidRPr="0096003C" w:rsidRDefault="00A959D7" w:rsidP="00E97E36">
      <w:pPr>
        <w:pStyle w:val="ListParagraph"/>
        <w:widowControl w:val="0"/>
        <w:numPr>
          <w:ilvl w:val="0"/>
          <w:numId w:val="27"/>
        </w:numPr>
        <w:spacing w:after="0" w:line="240" w:lineRule="auto"/>
        <w:jc w:val="both"/>
      </w:pPr>
      <w:r w:rsidRPr="008A7431">
        <w:rPr>
          <w:rFonts w:cs="Times New Roman"/>
          <w:szCs w:val="24"/>
        </w:rPr>
        <w:t>W</w:t>
      </w:r>
      <w:r w:rsidR="0096003C" w:rsidRPr="008A7431">
        <w:rPr>
          <w:rFonts w:cs="Times New Roman"/>
          <w:szCs w:val="24"/>
        </w:rPr>
        <w:t xml:space="preserve">hether </w:t>
      </w:r>
      <w:r w:rsidR="004142B4" w:rsidRPr="008A7431">
        <w:rPr>
          <w:rFonts w:cs="Times New Roman"/>
          <w:szCs w:val="24"/>
        </w:rPr>
        <w:t xml:space="preserve">Dr Wong </w:t>
      </w:r>
      <w:r w:rsidR="0096003C" w:rsidRPr="008A7431">
        <w:rPr>
          <w:rFonts w:cs="Times New Roman"/>
          <w:szCs w:val="24"/>
        </w:rPr>
        <w:t>was entitled to an order for a by-election to be called in MYT GRC</w:t>
      </w:r>
      <w:r w:rsidR="00D363A6" w:rsidRPr="008A7431">
        <w:rPr>
          <w:rFonts w:cs="Times New Roman"/>
          <w:szCs w:val="24"/>
        </w:rPr>
        <w:t>, due to voters’ implied right to representation in Parliament</w:t>
      </w:r>
      <w:r w:rsidR="00F92063" w:rsidRPr="008A7431">
        <w:rPr>
          <w:rFonts w:cs="Times New Roman"/>
          <w:szCs w:val="24"/>
        </w:rPr>
        <w:t>.</w:t>
      </w:r>
    </w:p>
    <w:p w14:paraId="045C81AE" w14:textId="77777777" w:rsidR="001351DC" w:rsidRPr="0096003C" w:rsidRDefault="001351DC" w:rsidP="00E97E36">
      <w:pPr>
        <w:pStyle w:val="ListParagraph"/>
        <w:widowControl w:val="0"/>
        <w:spacing w:after="0" w:line="240" w:lineRule="auto"/>
        <w:ind w:left="720" w:firstLine="0"/>
        <w:jc w:val="both"/>
      </w:pPr>
    </w:p>
    <w:p w14:paraId="16A6DFFD" w14:textId="2406E43D" w:rsidR="00B35307" w:rsidRDefault="0096003C" w:rsidP="00E97E36">
      <w:pPr>
        <w:pStyle w:val="Heading2"/>
        <w:widowControl w:val="0"/>
        <w:spacing w:after="0" w:line="240" w:lineRule="auto"/>
      </w:pPr>
      <w:r>
        <w:t xml:space="preserve">Article 49(1) </w:t>
      </w:r>
    </w:p>
    <w:p w14:paraId="1805F420" w14:textId="74811AE9" w:rsidR="00371641" w:rsidRDefault="0096003C" w:rsidP="00E97E36">
      <w:pPr>
        <w:widowControl w:val="0"/>
        <w:spacing w:after="0" w:line="240" w:lineRule="auto"/>
        <w:ind w:right="-46"/>
        <w:jc w:val="both"/>
      </w:pPr>
      <w:r>
        <w:t xml:space="preserve">The </w:t>
      </w:r>
      <w:r w:rsidR="008A0259">
        <w:t xml:space="preserve">CA held that Article 49(1) did not mandate </w:t>
      </w:r>
      <w:r w:rsidR="008A0259" w:rsidRPr="008A0259">
        <w:t>a by-election in MYT GRC</w:t>
      </w:r>
      <w:r w:rsidR="00CF4355">
        <w:t>,</w:t>
      </w:r>
      <w:r w:rsidR="00066034">
        <w:t xml:space="preserve"> as </w:t>
      </w:r>
      <w:r w:rsidR="00EC1203">
        <w:t xml:space="preserve">the </w:t>
      </w:r>
      <w:r w:rsidR="00CF4355">
        <w:t xml:space="preserve">most appropriate interpretation was that the </w:t>
      </w:r>
      <w:r w:rsidR="00EC1203">
        <w:t>words “seat of a Member” did not apply to seats in a GRC</w:t>
      </w:r>
      <w:r w:rsidR="00066034">
        <w:t>.</w:t>
      </w:r>
      <w:r w:rsidR="00AB4515">
        <w:t xml:space="preserve"> </w:t>
      </w:r>
    </w:p>
    <w:p w14:paraId="59DF4E0B" w14:textId="77777777" w:rsidR="00371641" w:rsidRDefault="00371641" w:rsidP="00E97E36">
      <w:pPr>
        <w:widowControl w:val="0"/>
        <w:spacing w:after="0" w:line="240" w:lineRule="auto"/>
        <w:ind w:right="-46"/>
        <w:jc w:val="both"/>
      </w:pPr>
    </w:p>
    <w:p w14:paraId="05F04293" w14:textId="46045720" w:rsidR="005725FB" w:rsidRPr="005823CE" w:rsidRDefault="005725FB" w:rsidP="00E97E36">
      <w:pPr>
        <w:widowControl w:val="0"/>
        <w:spacing w:after="0" w:line="240" w:lineRule="auto"/>
        <w:ind w:right="-46"/>
        <w:jc w:val="both"/>
      </w:pPr>
      <w:r>
        <w:t>Art</w:t>
      </w:r>
      <w:r w:rsidR="001C5BDC">
        <w:t>icle</w:t>
      </w:r>
      <w:r>
        <w:t xml:space="preserve"> 49(1) states that </w:t>
      </w:r>
      <w:r w:rsidRPr="001E0D6D">
        <w:rPr>
          <w:lang w:val="en-US"/>
        </w:rPr>
        <w:t xml:space="preserve">a vacant </w:t>
      </w:r>
      <w:r w:rsidR="00382737">
        <w:rPr>
          <w:lang w:val="en-US"/>
        </w:rPr>
        <w:t>“</w:t>
      </w:r>
      <w:r w:rsidRPr="001E0D6D">
        <w:rPr>
          <w:lang w:val="en-US"/>
        </w:rPr>
        <w:t xml:space="preserve">seat of </w:t>
      </w:r>
      <w:r w:rsidR="00382737">
        <w:rPr>
          <w:lang w:val="en-US"/>
        </w:rPr>
        <w:t>a Member”</w:t>
      </w:r>
      <w:r w:rsidRPr="001E0D6D">
        <w:rPr>
          <w:lang w:val="en-US"/>
        </w:rPr>
        <w:t xml:space="preserve"> shall be filled by election.</w:t>
      </w:r>
      <w:r>
        <w:t xml:space="preserve"> </w:t>
      </w:r>
      <w:r w:rsidRPr="007844A9">
        <w:rPr>
          <w:rFonts w:cs="Times New Roman"/>
          <w:szCs w:val="24"/>
        </w:rPr>
        <w:t xml:space="preserve">The CA </w:t>
      </w:r>
      <w:r w:rsidR="004B7E6F">
        <w:rPr>
          <w:rFonts w:cs="Times New Roman"/>
          <w:szCs w:val="24"/>
        </w:rPr>
        <w:t>highlighted the</w:t>
      </w:r>
      <w:r w:rsidRPr="007844A9">
        <w:rPr>
          <w:rFonts w:cs="Times New Roman"/>
          <w:szCs w:val="24"/>
        </w:rPr>
        <w:t xml:space="preserve"> three possible interpretations</w:t>
      </w:r>
      <w:r w:rsidR="001C59BE">
        <w:rPr>
          <w:rFonts w:cs="Times New Roman"/>
          <w:szCs w:val="24"/>
        </w:rPr>
        <w:t xml:space="preserve"> of this, as</w:t>
      </w:r>
      <w:r w:rsidRPr="007844A9">
        <w:rPr>
          <w:rFonts w:cs="Times New Roman"/>
          <w:szCs w:val="24"/>
        </w:rPr>
        <w:t xml:space="preserve"> </w:t>
      </w:r>
      <w:r w:rsidR="00543FBC">
        <w:rPr>
          <w:rFonts w:cs="Times New Roman"/>
          <w:szCs w:val="24"/>
        </w:rPr>
        <w:t>raised by the parties</w:t>
      </w:r>
      <w:r w:rsidRPr="007844A9">
        <w:rPr>
          <w:rFonts w:cs="Times New Roman"/>
          <w:szCs w:val="24"/>
        </w:rPr>
        <w:t>:</w:t>
      </w:r>
    </w:p>
    <w:p w14:paraId="467FDC42" w14:textId="5B027460" w:rsidR="009613F9" w:rsidRDefault="007E17BF" w:rsidP="00E97E36">
      <w:pPr>
        <w:widowControl w:val="0"/>
        <w:spacing w:after="0" w:line="240" w:lineRule="auto"/>
        <w:ind w:left="709" w:hanging="349"/>
        <w:jc w:val="both"/>
        <w:rPr>
          <w:rFonts w:cs="Times New Roman"/>
          <w:szCs w:val="24"/>
        </w:rPr>
      </w:pPr>
      <w:r>
        <w:rPr>
          <w:rFonts w:cs="Times New Roman"/>
          <w:szCs w:val="24"/>
        </w:rPr>
        <w:t xml:space="preserve">(1) </w:t>
      </w:r>
      <w:r w:rsidR="005725FB" w:rsidRPr="007E17BF">
        <w:rPr>
          <w:rFonts w:cs="Times New Roman"/>
          <w:szCs w:val="24"/>
        </w:rPr>
        <w:t xml:space="preserve">the vacancy, </w:t>
      </w:r>
      <w:r w:rsidR="005725FB" w:rsidRPr="007E17BF">
        <w:rPr>
          <w:rFonts w:cs="Times New Roman"/>
          <w:i/>
          <w:iCs/>
          <w:szCs w:val="24"/>
        </w:rPr>
        <w:t>as and when it arises</w:t>
      </w:r>
      <w:r w:rsidR="005725FB" w:rsidRPr="007E17BF">
        <w:rPr>
          <w:rFonts w:cs="Times New Roman"/>
          <w:szCs w:val="24"/>
        </w:rPr>
        <w:t>, shall be filled by a by-election for all the seats in the GRC</w:t>
      </w:r>
      <w:r w:rsidR="00B2608E">
        <w:rPr>
          <w:rFonts w:cs="Times New Roman"/>
          <w:szCs w:val="24"/>
        </w:rPr>
        <w:t xml:space="preserve"> (“</w:t>
      </w:r>
      <w:r w:rsidR="00B2608E">
        <w:rPr>
          <w:rFonts w:cs="Times New Roman"/>
          <w:b/>
          <w:bCs/>
          <w:szCs w:val="24"/>
        </w:rPr>
        <w:t>Interpretation 1</w:t>
      </w:r>
      <w:r w:rsidR="00B2608E">
        <w:rPr>
          <w:rFonts w:cs="Times New Roman"/>
          <w:szCs w:val="24"/>
        </w:rPr>
        <w:t>”</w:t>
      </w:r>
      <w:r w:rsidR="003A541D">
        <w:rPr>
          <w:rFonts w:cs="Times New Roman"/>
          <w:szCs w:val="24"/>
        </w:rPr>
        <w:t xml:space="preserve">, by </w:t>
      </w:r>
      <w:r w:rsidR="007A33ED">
        <w:rPr>
          <w:rFonts w:cs="Times New Roman"/>
          <w:szCs w:val="24"/>
        </w:rPr>
        <w:t>Dr Wong</w:t>
      </w:r>
      <w:r w:rsidR="00B2608E">
        <w:rPr>
          <w:rFonts w:cs="Times New Roman"/>
          <w:szCs w:val="24"/>
        </w:rPr>
        <w:t>)</w:t>
      </w:r>
      <w:r w:rsidR="005725FB" w:rsidRPr="007E17BF">
        <w:rPr>
          <w:rFonts w:cs="Times New Roman"/>
          <w:szCs w:val="24"/>
        </w:rPr>
        <w:t>;</w:t>
      </w:r>
    </w:p>
    <w:p w14:paraId="3740DD9B" w14:textId="44C2B009" w:rsidR="009613F9" w:rsidRDefault="009613F9" w:rsidP="00E97E36">
      <w:pPr>
        <w:widowControl w:val="0"/>
        <w:spacing w:after="0" w:line="240" w:lineRule="auto"/>
        <w:ind w:left="709" w:hanging="349"/>
        <w:jc w:val="both"/>
        <w:rPr>
          <w:rFonts w:cs="Times New Roman"/>
          <w:szCs w:val="24"/>
        </w:rPr>
      </w:pPr>
      <w:r>
        <w:rPr>
          <w:rFonts w:cs="Times New Roman"/>
          <w:szCs w:val="24"/>
        </w:rPr>
        <w:t>(</w:t>
      </w:r>
      <w:r w:rsidR="007E17BF" w:rsidRPr="009613F9">
        <w:rPr>
          <w:rFonts w:cs="Times New Roman"/>
          <w:szCs w:val="24"/>
        </w:rPr>
        <w:t xml:space="preserve">2) </w:t>
      </w:r>
      <w:r w:rsidR="005725FB" w:rsidRPr="009613F9">
        <w:rPr>
          <w:rFonts w:cs="Times New Roman"/>
          <w:szCs w:val="24"/>
        </w:rPr>
        <w:t xml:space="preserve">the vacancy shall </w:t>
      </w:r>
      <w:r w:rsidR="005725FB" w:rsidRPr="007A33ED">
        <w:rPr>
          <w:rFonts w:cs="Times New Roman"/>
          <w:i/>
          <w:iCs/>
          <w:szCs w:val="24"/>
        </w:rPr>
        <w:t>only</w:t>
      </w:r>
      <w:r w:rsidR="005725FB" w:rsidRPr="009613F9">
        <w:rPr>
          <w:rFonts w:cs="Times New Roman"/>
          <w:szCs w:val="24"/>
        </w:rPr>
        <w:t xml:space="preserve"> be filled by a by-election </w:t>
      </w:r>
      <w:r w:rsidR="005725FB" w:rsidRPr="00A57EBA">
        <w:rPr>
          <w:rFonts w:cs="Times New Roman"/>
          <w:i/>
          <w:iCs/>
          <w:szCs w:val="24"/>
        </w:rPr>
        <w:t>if and when</w:t>
      </w:r>
      <w:r w:rsidR="005725FB" w:rsidRPr="009613F9">
        <w:rPr>
          <w:rFonts w:cs="Times New Roman"/>
          <w:szCs w:val="24"/>
        </w:rPr>
        <w:t xml:space="preserve"> </w:t>
      </w:r>
      <w:r w:rsidR="005725FB" w:rsidRPr="00A57EBA">
        <w:rPr>
          <w:rFonts w:cs="Times New Roman"/>
          <w:i/>
          <w:iCs/>
          <w:szCs w:val="24"/>
        </w:rPr>
        <w:t>all</w:t>
      </w:r>
      <w:r w:rsidR="005725FB" w:rsidRPr="009613F9">
        <w:rPr>
          <w:rFonts w:cs="Times New Roman"/>
          <w:szCs w:val="24"/>
        </w:rPr>
        <w:t xml:space="preserve"> the seats in the GRC have been </w:t>
      </w:r>
      <w:r w:rsidR="005725FB" w:rsidRPr="00A57EBA">
        <w:rPr>
          <w:rFonts w:cs="Times New Roman"/>
          <w:i/>
          <w:iCs/>
          <w:szCs w:val="24"/>
        </w:rPr>
        <w:t>vacated</w:t>
      </w:r>
      <w:r w:rsidR="00B2608E">
        <w:rPr>
          <w:rFonts w:cs="Times New Roman"/>
          <w:i/>
          <w:iCs/>
          <w:szCs w:val="24"/>
        </w:rPr>
        <w:t xml:space="preserve"> </w:t>
      </w:r>
      <w:r w:rsidR="00B2608E">
        <w:rPr>
          <w:rFonts w:cs="Times New Roman"/>
          <w:szCs w:val="24"/>
        </w:rPr>
        <w:t>(“</w:t>
      </w:r>
      <w:r w:rsidR="00B2608E">
        <w:rPr>
          <w:rFonts w:cs="Times New Roman"/>
          <w:b/>
          <w:bCs/>
          <w:szCs w:val="24"/>
        </w:rPr>
        <w:t>Interpretation 2</w:t>
      </w:r>
      <w:r w:rsidR="00B2608E">
        <w:rPr>
          <w:rFonts w:cs="Times New Roman"/>
          <w:szCs w:val="24"/>
        </w:rPr>
        <w:t>”</w:t>
      </w:r>
      <w:r w:rsidR="00760418">
        <w:rPr>
          <w:rFonts w:cs="Times New Roman"/>
          <w:szCs w:val="24"/>
        </w:rPr>
        <w:t xml:space="preserve">, by </w:t>
      </w:r>
      <w:r w:rsidR="007D3020">
        <w:rPr>
          <w:rFonts w:cs="Times New Roman"/>
          <w:szCs w:val="24"/>
        </w:rPr>
        <w:t>the Attorney General (“</w:t>
      </w:r>
      <w:r w:rsidR="007D3020">
        <w:rPr>
          <w:rFonts w:cs="Times New Roman"/>
          <w:b/>
          <w:bCs/>
          <w:szCs w:val="24"/>
        </w:rPr>
        <w:t>AG</w:t>
      </w:r>
      <w:r w:rsidR="007D3020">
        <w:rPr>
          <w:rFonts w:cs="Times New Roman"/>
          <w:szCs w:val="24"/>
        </w:rPr>
        <w:t>”)</w:t>
      </w:r>
      <w:r w:rsidR="00B2608E">
        <w:rPr>
          <w:rFonts w:cs="Times New Roman"/>
          <w:szCs w:val="24"/>
        </w:rPr>
        <w:t>)</w:t>
      </w:r>
      <w:r w:rsidR="005725FB" w:rsidRPr="009613F9">
        <w:rPr>
          <w:rFonts w:cs="Times New Roman"/>
          <w:szCs w:val="24"/>
        </w:rPr>
        <w:t>; or</w:t>
      </w:r>
    </w:p>
    <w:p w14:paraId="20D2B469" w14:textId="7AF6BF57" w:rsidR="005725FB" w:rsidRPr="009613F9" w:rsidRDefault="007E17BF" w:rsidP="00E97E36">
      <w:pPr>
        <w:widowControl w:val="0"/>
        <w:spacing w:after="0" w:line="240" w:lineRule="auto"/>
        <w:ind w:left="709" w:hanging="349"/>
        <w:jc w:val="both"/>
        <w:rPr>
          <w:rFonts w:cs="Times New Roman"/>
          <w:szCs w:val="24"/>
        </w:rPr>
      </w:pPr>
      <w:r w:rsidRPr="009613F9">
        <w:rPr>
          <w:rFonts w:cs="Times New Roman"/>
          <w:szCs w:val="24"/>
        </w:rPr>
        <w:t xml:space="preserve">(3) </w:t>
      </w:r>
      <w:r w:rsidR="005725FB" w:rsidRPr="009613F9">
        <w:rPr>
          <w:rFonts w:cs="Times New Roman"/>
          <w:szCs w:val="24"/>
        </w:rPr>
        <w:t>the “seat of a Member” refers only to the seat of a Member of an SMC, and Art</w:t>
      </w:r>
      <w:r w:rsidR="00CC0F46" w:rsidRPr="009613F9">
        <w:rPr>
          <w:rFonts w:cs="Times New Roman"/>
          <w:szCs w:val="24"/>
        </w:rPr>
        <w:t>icle</w:t>
      </w:r>
      <w:r w:rsidR="005725FB" w:rsidRPr="009613F9">
        <w:rPr>
          <w:rFonts w:cs="Times New Roman"/>
          <w:szCs w:val="24"/>
        </w:rPr>
        <w:t xml:space="preserve"> 49(1) </w:t>
      </w:r>
      <w:r w:rsidR="005725FB" w:rsidRPr="00E21434">
        <w:rPr>
          <w:rFonts w:cs="Times New Roman"/>
          <w:i/>
          <w:iCs/>
          <w:szCs w:val="24"/>
        </w:rPr>
        <w:t>does not apply</w:t>
      </w:r>
      <w:r w:rsidR="005725FB" w:rsidRPr="00085449">
        <w:rPr>
          <w:rFonts w:cs="Times New Roman"/>
          <w:szCs w:val="24"/>
        </w:rPr>
        <w:t xml:space="preserve"> to seats in a GRC</w:t>
      </w:r>
      <w:r w:rsidR="005725FB" w:rsidRPr="009613F9">
        <w:rPr>
          <w:rFonts w:cs="Times New Roman"/>
          <w:szCs w:val="24"/>
        </w:rPr>
        <w:t xml:space="preserve"> at all</w:t>
      </w:r>
      <w:r w:rsidR="00B2608E">
        <w:rPr>
          <w:rFonts w:cs="Times New Roman"/>
          <w:szCs w:val="24"/>
        </w:rPr>
        <w:t xml:space="preserve"> (“</w:t>
      </w:r>
      <w:r w:rsidR="00B2608E">
        <w:rPr>
          <w:rFonts w:cs="Times New Roman"/>
          <w:b/>
          <w:bCs/>
          <w:szCs w:val="24"/>
        </w:rPr>
        <w:t xml:space="preserve">Interpretation </w:t>
      </w:r>
      <w:r w:rsidR="006E4AFB">
        <w:rPr>
          <w:rFonts w:cs="Times New Roman"/>
          <w:b/>
          <w:bCs/>
          <w:szCs w:val="24"/>
        </w:rPr>
        <w:t>3</w:t>
      </w:r>
      <w:r w:rsidR="00B2608E">
        <w:rPr>
          <w:rFonts w:cs="Times New Roman"/>
          <w:szCs w:val="24"/>
        </w:rPr>
        <w:t>”</w:t>
      </w:r>
      <w:r w:rsidR="00760418">
        <w:rPr>
          <w:rFonts w:cs="Times New Roman"/>
          <w:szCs w:val="24"/>
        </w:rPr>
        <w:t xml:space="preserve">, </w:t>
      </w:r>
      <w:r w:rsidR="004A11E5">
        <w:rPr>
          <w:rFonts w:cs="Times New Roman"/>
          <w:szCs w:val="24"/>
        </w:rPr>
        <w:t xml:space="preserve">also </w:t>
      </w:r>
      <w:r w:rsidR="00760418">
        <w:rPr>
          <w:rFonts w:cs="Times New Roman"/>
          <w:szCs w:val="24"/>
        </w:rPr>
        <w:t xml:space="preserve">by </w:t>
      </w:r>
      <w:r w:rsidR="007D3020">
        <w:rPr>
          <w:rFonts w:cs="Times New Roman"/>
          <w:szCs w:val="24"/>
        </w:rPr>
        <w:t>th</w:t>
      </w:r>
      <w:r w:rsidR="00760418">
        <w:rPr>
          <w:rFonts w:cs="Times New Roman"/>
          <w:szCs w:val="24"/>
        </w:rPr>
        <w:t>e AG</w:t>
      </w:r>
      <w:r w:rsidR="00B2608E">
        <w:rPr>
          <w:rFonts w:cs="Times New Roman"/>
          <w:szCs w:val="24"/>
        </w:rPr>
        <w:t>)</w:t>
      </w:r>
      <w:r w:rsidR="005725FB" w:rsidRPr="009613F9">
        <w:rPr>
          <w:rFonts w:cs="Times New Roman"/>
          <w:szCs w:val="24"/>
        </w:rPr>
        <w:t>.</w:t>
      </w:r>
    </w:p>
    <w:p w14:paraId="4D5C9467" w14:textId="75B4018A" w:rsidR="004F65F0" w:rsidRDefault="00C06C47" w:rsidP="00E97E36">
      <w:pPr>
        <w:widowControl w:val="0"/>
        <w:spacing w:after="0" w:line="240" w:lineRule="auto"/>
        <w:jc w:val="both"/>
        <w:rPr>
          <w:rFonts w:cs="Times New Roman"/>
          <w:szCs w:val="24"/>
        </w:rPr>
      </w:pPr>
      <w:r>
        <w:rPr>
          <w:rFonts w:cs="Times New Roman"/>
          <w:szCs w:val="24"/>
        </w:rPr>
        <w:t xml:space="preserve">The CA </w:t>
      </w:r>
      <w:r w:rsidR="00641AE5">
        <w:rPr>
          <w:rFonts w:cs="Times New Roman"/>
          <w:szCs w:val="24"/>
        </w:rPr>
        <w:t xml:space="preserve">further </w:t>
      </w:r>
      <w:r>
        <w:rPr>
          <w:rFonts w:cs="Times New Roman"/>
          <w:szCs w:val="24"/>
        </w:rPr>
        <w:t xml:space="preserve">noted that </w:t>
      </w:r>
      <w:r w:rsidR="00FD0D93">
        <w:rPr>
          <w:rFonts w:cs="Times New Roman"/>
          <w:szCs w:val="24"/>
        </w:rPr>
        <w:t>when</w:t>
      </w:r>
      <w:r>
        <w:rPr>
          <w:rFonts w:cs="Times New Roman"/>
          <w:szCs w:val="24"/>
        </w:rPr>
        <w:t xml:space="preserve"> Article 49(1) was enacted, SMCs were the only type of parliamentary constituency that existed. </w:t>
      </w:r>
    </w:p>
    <w:p w14:paraId="65C3FA6F" w14:textId="77777777" w:rsidR="007A7A2A" w:rsidRDefault="007A7A2A" w:rsidP="00E97E36">
      <w:pPr>
        <w:widowControl w:val="0"/>
        <w:spacing w:after="0" w:line="240" w:lineRule="auto"/>
        <w:jc w:val="both"/>
      </w:pPr>
    </w:p>
    <w:p w14:paraId="0BDF69C3" w14:textId="734C30FD" w:rsidR="00C06C47" w:rsidRDefault="007A7A2A" w:rsidP="00E97E36">
      <w:pPr>
        <w:pStyle w:val="Heading3"/>
        <w:widowControl w:val="0"/>
        <w:spacing w:after="0" w:line="240" w:lineRule="auto"/>
        <w:jc w:val="both"/>
      </w:pPr>
      <w:r>
        <w:t>Principles of interpretation</w:t>
      </w:r>
    </w:p>
    <w:p w14:paraId="0AB56EFC" w14:textId="44A366C3" w:rsidR="00F7294F" w:rsidRPr="00C46117" w:rsidRDefault="00F11143" w:rsidP="00E97E36">
      <w:pPr>
        <w:widowControl w:val="0"/>
        <w:spacing w:after="0" w:line="240" w:lineRule="auto"/>
        <w:jc w:val="both"/>
      </w:pPr>
      <w:r>
        <w:t xml:space="preserve">The CA first </w:t>
      </w:r>
      <w:r w:rsidR="00DB3391">
        <w:t>stated</w:t>
      </w:r>
      <w:r>
        <w:t xml:space="preserve"> how Article 49(1)</w:t>
      </w:r>
      <w:r w:rsidR="004F65F0">
        <w:t xml:space="preserve"> (and other Constitutional provisions)</w:t>
      </w:r>
      <w:r>
        <w:t xml:space="preserve"> </w:t>
      </w:r>
      <w:r w:rsidR="004F65F0">
        <w:t>were</w:t>
      </w:r>
      <w:r>
        <w:t xml:space="preserve"> to be interpreted</w:t>
      </w:r>
      <w:r w:rsidR="00855355">
        <w:t>.</w:t>
      </w:r>
      <w:r w:rsidR="00D45061">
        <w:t xml:space="preserve"> The</w:t>
      </w:r>
      <w:r w:rsidR="00855355">
        <w:t xml:space="preserve"> principles</w:t>
      </w:r>
      <w:r w:rsidR="00D45061">
        <w:t xml:space="preserve"> of constitutional interpretation</w:t>
      </w:r>
      <w:r w:rsidR="00855355">
        <w:t xml:space="preserve"> required the courts to use the</w:t>
      </w:r>
      <w:r w:rsidR="008906EE">
        <w:t xml:space="preserve"> </w:t>
      </w:r>
      <w:r w:rsidR="008906EE" w:rsidRPr="00321816">
        <w:t xml:space="preserve">“purposive approach”. </w:t>
      </w:r>
      <w:r w:rsidR="00F7294F" w:rsidRPr="00321816">
        <w:t xml:space="preserve">This meant </w:t>
      </w:r>
      <w:r w:rsidR="00855355" w:rsidRPr="00321816">
        <w:t>that</w:t>
      </w:r>
      <w:r w:rsidR="00F7294F" w:rsidRPr="00321816">
        <w:t>:</w:t>
      </w:r>
    </w:p>
    <w:p w14:paraId="000EBAF0" w14:textId="0FC39435" w:rsidR="00323BD3" w:rsidRPr="00C46117" w:rsidRDefault="004C71F8" w:rsidP="00C84547">
      <w:pPr>
        <w:pStyle w:val="Heading3"/>
        <w:widowControl w:val="0"/>
        <w:numPr>
          <w:ilvl w:val="0"/>
          <w:numId w:val="29"/>
        </w:numPr>
        <w:spacing w:after="0" w:line="240" w:lineRule="auto"/>
        <w:jc w:val="both"/>
      </w:pPr>
      <w:r w:rsidRPr="003F0ABB">
        <w:rPr>
          <w:i w:val="0"/>
        </w:rPr>
        <w:t>First, t</w:t>
      </w:r>
      <w:r w:rsidR="00E21A9C" w:rsidRPr="003F0ABB">
        <w:rPr>
          <w:i w:val="0"/>
        </w:rPr>
        <w:t>he courts</w:t>
      </w:r>
      <w:r w:rsidR="00323BD3" w:rsidRPr="003F0ABB">
        <w:rPr>
          <w:i w:val="0"/>
        </w:rPr>
        <w:t xml:space="preserve"> must</w:t>
      </w:r>
      <w:r w:rsidR="00F34EF1" w:rsidRPr="003F0ABB">
        <w:rPr>
          <w:i w:val="0"/>
        </w:rPr>
        <w:t xml:space="preserve"> </w:t>
      </w:r>
      <w:r w:rsidRPr="003F0ABB">
        <w:rPr>
          <w:i w:val="0"/>
        </w:rPr>
        <w:t xml:space="preserve">determine </w:t>
      </w:r>
      <w:r w:rsidR="00323BD3" w:rsidRPr="003F0ABB">
        <w:rPr>
          <w:i w:val="0"/>
        </w:rPr>
        <w:t xml:space="preserve">the interpretation of </w:t>
      </w:r>
      <w:r w:rsidR="002635D4" w:rsidRPr="003F0ABB">
        <w:rPr>
          <w:i w:val="0"/>
        </w:rPr>
        <w:t xml:space="preserve">a Constitutional </w:t>
      </w:r>
      <w:r w:rsidR="00323BD3" w:rsidRPr="003F0ABB">
        <w:rPr>
          <w:i w:val="0"/>
        </w:rPr>
        <w:t xml:space="preserve">provision </w:t>
      </w:r>
      <w:r w:rsidR="002635D4" w:rsidRPr="003F0ABB">
        <w:rPr>
          <w:i w:val="0"/>
        </w:rPr>
        <w:t xml:space="preserve">by looking </w:t>
      </w:r>
      <w:r w:rsidR="00323BD3" w:rsidRPr="003F0ABB">
        <w:rPr>
          <w:i w:val="0"/>
        </w:rPr>
        <w:t xml:space="preserve">not </w:t>
      </w:r>
      <w:r w:rsidR="002635D4" w:rsidRPr="003F0ABB">
        <w:rPr>
          <w:i w:val="0"/>
        </w:rPr>
        <w:t xml:space="preserve">only at </w:t>
      </w:r>
      <w:r w:rsidR="002E22A3" w:rsidRPr="003F0ABB">
        <w:rPr>
          <w:i w:val="0"/>
        </w:rPr>
        <w:t>its</w:t>
      </w:r>
      <w:r w:rsidR="002635D4" w:rsidRPr="003F0ABB">
        <w:rPr>
          <w:i w:val="0"/>
        </w:rPr>
        <w:t xml:space="preserve"> </w:t>
      </w:r>
      <w:r w:rsidR="002635D4" w:rsidRPr="003F0ABB">
        <w:rPr>
          <w:iCs/>
        </w:rPr>
        <w:t>words</w:t>
      </w:r>
      <w:r w:rsidR="002635D4" w:rsidRPr="003F0ABB">
        <w:rPr>
          <w:i w:val="0"/>
        </w:rPr>
        <w:t>,</w:t>
      </w:r>
      <w:r w:rsidR="00323BD3" w:rsidRPr="003F0ABB">
        <w:rPr>
          <w:i w:val="0"/>
        </w:rPr>
        <w:t xml:space="preserve"> but also </w:t>
      </w:r>
      <w:r w:rsidR="00A220C2" w:rsidRPr="003F0ABB">
        <w:rPr>
          <w:i w:val="0"/>
        </w:rPr>
        <w:t>its</w:t>
      </w:r>
      <w:r w:rsidR="00323BD3" w:rsidRPr="003F0ABB">
        <w:rPr>
          <w:i w:val="0"/>
        </w:rPr>
        <w:t xml:space="preserve"> </w:t>
      </w:r>
      <w:r w:rsidR="00323BD3" w:rsidRPr="003F0ABB">
        <w:rPr>
          <w:iCs/>
        </w:rPr>
        <w:t>context</w:t>
      </w:r>
      <w:r w:rsidR="00323BD3" w:rsidRPr="003F0ABB">
        <w:rPr>
          <w:i w:val="0"/>
        </w:rPr>
        <w:t xml:space="preserve"> within the Constitution as a whole</w:t>
      </w:r>
      <w:r w:rsidR="00AB7DD6" w:rsidRPr="003F0ABB">
        <w:rPr>
          <w:i w:val="0"/>
        </w:rPr>
        <w:t>;</w:t>
      </w:r>
    </w:p>
    <w:p w14:paraId="6D350319" w14:textId="26A140A6" w:rsidR="00EE1466" w:rsidRPr="00C46117" w:rsidRDefault="00E508B0" w:rsidP="00C84547">
      <w:pPr>
        <w:pStyle w:val="Heading3"/>
        <w:numPr>
          <w:ilvl w:val="0"/>
          <w:numId w:val="29"/>
        </w:numPr>
        <w:spacing w:after="0" w:line="240" w:lineRule="auto"/>
        <w:jc w:val="both"/>
      </w:pPr>
      <w:r w:rsidRPr="003F0ABB">
        <w:rPr>
          <w:i w:val="0"/>
        </w:rPr>
        <w:t>S</w:t>
      </w:r>
      <w:r w:rsidR="00634A74" w:rsidRPr="003F0ABB">
        <w:rPr>
          <w:i w:val="0"/>
        </w:rPr>
        <w:t>e</w:t>
      </w:r>
      <w:r w:rsidRPr="003F0ABB">
        <w:rPr>
          <w:i w:val="0"/>
        </w:rPr>
        <w:t>cond, t</w:t>
      </w:r>
      <w:r w:rsidR="00323BD3" w:rsidRPr="003F0ABB">
        <w:rPr>
          <w:i w:val="0"/>
        </w:rPr>
        <w:t>he court</w:t>
      </w:r>
      <w:r w:rsidR="000F6C85" w:rsidRPr="003F0ABB">
        <w:rPr>
          <w:i w:val="0"/>
        </w:rPr>
        <w:t>s</w:t>
      </w:r>
      <w:r w:rsidR="00323BD3" w:rsidRPr="003F0ABB">
        <w:rPr>
          <w:i w:val="0"/>
        </w:rPr>
        <w:t xml:space="preserve"> must </w:t>
      </w:r>
      <w:r w:rsidR="004C71F8" w:rsidRPr="003F0ABB">
        <w:rPr>
          <w:i w:val="0"/>
        </w:rPr>
        <w:t xml:space="preserve">determine </w:t>
      </w:r>
      <w:r w:rsidR="00323BD3" w:rsidRPr="003F0ABB">
        <w:rPr>
          <w:i w:val="0"/>
        </w:rPr>
        <w:t xml:space="preserve">the </w:t>
      </w:r>
      <w:r w:rsidR="00323BD3" w:rsidRPr="003F0ABB">
        <w:rPr>
          <w:iCs/>
        </w:rPr>
        <w:t>purpose</w:t>
      </w:r>
      <w:r w:rsidR="00323BD3" w:rsidRPr="003F0ABB">
        <w:rPr>
          <w:i w:val="0"/>
        </w:rPr>
        <w:t xml:space="preserve"> of</w:t>
      </w:r>
      <w:r w:rsidR="00EE1466" w:rsidRPr="003F0ABB">
        <w:rPr>
          <w:i w:val="0"/>
        </w:rPr>
        <w:t xml:space="preserve"> both</w:t>
      </w:r>
      <w:r w:rsidR="00323BD3" w:rsidRPr="003F0ABB">
        <w:rPr>
          <w:i w:val="0"/>
        </w:rPr>
        <w:t xml:space="preserve"> the </w:t>
      </w:r>
      <w:r w:rsidR="00EE1466" w:rsidRPr="003F0ABB">
        <w:rPr>
          <w:i w:val="0"/>
        </w:rPr>
        <w:t>provision</w:t>
      </w:r>
      <w:r w:rsidR="004C71F8" w:rsidRPr="003F0ABB">
        <w:rPr>
          <w:i w:val="0"/>
        </w:rPr>
        <w:t xml:space="preserve"> and</w:t>
      </w:r>
      <w:r w:rsidR="00F34EF1" w:rsidRPr="003F0ABB">
        <w:rPr>
          <w:i w:val="0"/>
        </w:rPr>
        <w:t xml:space="preserve"> </w:t>
      </w:r>
      <w:r w:rsidR="00323BD3" w:rsidRPr="003F0ABB">
        <w:rPr>
          <w:i w:val="0"/>
        </w:rPr>
        <w:t xml:space="preserve">the part of the Constitution </w:t>
      </w:r>
      <w:r w:rsidR="00EE1466" w:rsidRPr="003F0ABB">
        <w:rPr>
          <w:i w:val="0"/>
        </w:rPr>
        <w:t>where</w:t>
      </w:r>
      <w:r w:rsidR="00323BD3" w:rsidRPr="003F0ABB">
        <w:rPr>
          <w:i w:val="0"/>
        </w:rPr>
        <w:t xml:space="preserve"> </w:t>
      </w:r>
      <w:r w:rsidR="00D35FDE" w:rsidRPr="003F0ABB">
        <w:rPr>
          <w:i w:val="0"/>
        </w:rPr>
        <w:t xml:space="preserve">such </w:t>
      </w:r>
      <w:r w:rsidR="00323BD3" w:rsidRPr="003F0ABB">
        <w:rPr>
          <w:i w:val="0"/>
        </w:rPr>
        <w:t xml:space="preserve">provision is </w:t>
      </w:r>
      <w:r w:rsidR="004C71F8" w:rsidRPr="003F0ABB">
        <w:rPr>
          <w:i w:val="0"/>
        </w:rPr>
        <w:t>placed</w:t>
      </w:r>
      <w:r w:rsidR="00337FBE" w:rsidRPr="003F0ABB">
        <w:rPr>
          <w:i w:val="0"/>
        </w:rPr>
        <w:t>;</w:t>
      </w:r>
      <w:r w:rsidR="00323BD3" w:rsidRPr="003F0ABB">
        <w:rPr>
          <w:i w:val="0"/>
        </w:rPr>
        <w:t xml:space="preserve"> </w:t>
      </w:r>
    </w:p>
    <w:p w14:paraId="2DA425A3" w14:textId="31F4B25B" w:rsidR="00590E4C" w:rsidRPr="003F0ABB" w:rsidRDefault="00E508B0" w:rsidP="00C84547">
      <w:pPr>
        <w:pStyle w:val="Heading3"/>
        <w:numPr>
          <w:ilvl w:val="0"/>
          <w:numId w:val="29"/>
        </w:numPr>
        <w:spacing w:after="0" w:line="240" w:lineRule="auto"/>
        <w:jc w:val="both"/>
        <w:rPr>
          <w:i w:val="0"/>
        </w:rPr>
      </w:pPr>
      <w:r w:rsidRPr="003F0ABB">
        <w:rPr>
          <w:i w:val="0"/>
        </w:rPr>
        <w:t>Third, t</w:t>
      </w:r>
      <w:r w:rsidR="00323BD3" w:rsidRPr="003F0ABB">
        <w:rPr>
          <w:i w:val="0"/>
        </w:rPr>
        <w:t>he court</w:t>
      </w:r>
      <w:r w:rsidR="000274A7" w:rsidRPr="003F0ABB">
        <w:rPr>
          <w:i w:val="0"/>
        </w:rPr>
        <w:t>s</w:t>
      </w:r>
      <w:r w:rsidR="00323BD3" w:rsidRPr="003F0ABB">
        <w:rPr>
          <w:i w:val="0"/>
        </w:rPr>
        <w:t xml:space="preserve"> </w:t>
      </w:r>
      <w:r w:rsidR="000274A7" w:rsidRPr="003F0ABB">
        <w:rPr>
          <w:i w:val="0"/>
        </w:rPr>
        <w:t xml:space="preserve">must </w:t>
      </w:r>
      <w:r w:rsidR="00323BD3" w:rsidRPr="003F0ABB">
        <w:rPr>
          <w:iCs/>
        </w:rPr>
        <w:t>compare</w:t>
      </w:r>
      <w:r w:rsidR="00323BD3" w:rsidRPr="003F0ABB">
        <w:rPr>
          <w:i w:val="0"/>
        </w:rPr>
        <w:t xml:space="preserve"> the possible interpretations of the provision </w:t>
      </w:r>
      <w:r w:rsidR="0038050B" w:rsidRPr="003F0ABB">
        <w:rPr>
          <w:i w:val="0"/>
        </w:rPr>
        <w:t>(</w:t>
      </w:r>
      <w:r w:rsidR="006A73CC" w:rsidRPr="003F0ABB">
        <w:rPr>
          <w:i w:val="0"/>
        </w:rPr>
        <w:t xml:space="preserve">under the </w:t>
      </w:r>
      <w:r w:rsidR="0038050B" w:rsidRPr="003F0ABB">
        <w:rPr>
          <w:i w:val="0"/>
        </w:rPr>
        <w:t xml:space="preserve">first step) </w:t>
      </w:r>
      <w:r w:rsidR="00323BD3" w:rsidRPr="003F0ABB">
        <w:rPr>
          <w:i w:val="0"/>
        </w:rPr>
        <w:t xml:space="preserve">against </w:t>
      </w:r>
      <w:r w:rsidR="004D73D8" w:rsidRPr="003F0ABB">
        <w:rPr>
          <w:i w:val="0"/>
        </w:rPr>
        <w:t xml:space="preserve">its </w:t>
      </w:r>
      <w:r w:rsidR="00323BD3" w:rsidRPr="003F0ABB">
        <w:rPr>
          <w:i w:val="0"/>
        </w:rPr>
        <w:t xml:space="preserve">purpose </w:t>
      </w:r>
      <w:r w:rsidR="0038050B" w:rsidRPr="003F0ABB">
        <w:rPr>
          <w:i w:val="0"/>
        </w:rPr>
        <w:t>(</w:t>
      </w:r>
      <w:r w:rsidR="006A73CC" w:rsidRPr="003F0ABB">
        <w:rPr>
          <w:i w:val="0"/>
        </w:rPr>
        <w:t xml:space="preserve">under the </w:t>
      </w:r>
      <w:r w:rsidR="0038050B" w:rsidRPr="003F0ABB">
        <w:rPr>
          <w:i w:val="0"/>
        </w:rPr>
        <w:t xml:space="preserve">second </w:t>
      </w:r>
      <w:r w:rsidR="006B06DE" w:rsidRPr="003F0ABB">
        <w:rPr>
          <w:i w:val="0"/>
        </w:rPr>
        <w:t>step</w:t>
      </w:r>
      <w:r w:rsidR="0038050B" w:rsidRPr="003F0ABB">
        <w:rPr>
          <w:i w:val="0"/>
        </w:rPr>
        <w:t>)</w:t>
      </w:r>
      <w:r w:rsidR="00323BD3" w:rsidRPr="003F0ABB">
        <w:rPr>
          <w:i w:val="0"/>
        </w:rPr>
        <w:t xml:space="preserve">. </w:t>
      </w:r>
      <w:r w:rsidR="00323BD3" w:rsidRPr="003C70C0">
        <w:rPr>
          <w:i w:val="0"/>
        </w:rPr>
        <w:t>The</w:t>
      </w:r>
      <w:r w:rsidR="008445A1" w:rsidRPr="003C70C0">
        <w:rPr>
          <w:i w:val="0"/>
        </w:rPr>
        <w:t xml:space="preserve"> court should choose the</w:t>
      </w:r>
      <w:r w:rsidR="00323BD3" w:rsidRPr="003C70C0">
        <w:rPr>
          <w:i w:val="0"/>
        </w:rPr>
        <w:t xml:space="preserve"> interpretation which </w:t>
      </w:r>
      <w:r w:rsidR="00323BD3" w:rsidRPr="003F0ABB">
        <w:rPr>
          <w:iCs/>
        </w:rPr>
        <w:t>furthers the purpose of the text</w:t>
      </w:r>
      <w:r w:rsidR="00323BD3" w:rsidRPr="003F0ABB">
        <w:rPr>
          <w:i w:val="0"/>
        </w:rPr>
        <w:t>.</w:t>
      </w:r>
    </w:p>
    <w:p w14:paraId="1875A54C" w14:textId="02384DFC" w:rsidR="00323BD3" w:rsidRPr="00C46117" w:rsidRDefault="0088379E" w:rsidP="00C84547">
      <w:pPr>
        <w:pStyle w:val="Heading3"/>
        <w:numPr>
          <w:ilvl w:val="0"/>
          <w:numId w:val="29"/>
        </w:numPr>
        <w:spacing w:after="0" w:line="240" w:lineRule="auto"/>
        <w:jc w:val="both"/>
      </w:pPr>
      <w:r w:rsidRPr="003F0ABB">
        <w:rPr>
          <w:i w:val="0"/>
        </w:rPr>
        <w:t xml:space="preserve">Finally, </w:t>
      </w:r>
      <w:r w:rsidR="00721AEC" w:rsidRPr="003F0ABB">
        <w:rPr>
          <w:i w:val="0"/>
        </w:rPr>
        <w:t xml:space="preserve">the courts </w:t>
      </w:r>
      <w:r w:rsidR="005D5C1B" w:rsidRPr="003F0ABB">
        <w:rPr>
          <w:i w:val="0"/>
        </w:rPr>
        <w:t xml:space="preserve">must </w:t>
      </w:r>
      <w:r w:rsidR="005B2BEA" w:rsidRPr="003F0ABB">
        <w:rPr>
          <w:i w:val="0"/>
        </w:rPr>
        <w:t>consider</w:t>
      </w:r>
      <w:r w:rsidR="00721AEC" w:rsidRPr="003F0ABB">
        <w:rPr>
          <w:i w:val="0"/>
        </w:rPr>
        <w:t xml:space="preserve"> if it is necessary to consider </w:t>
      </w:r>
      <w:r w:rsidR="00721AEC" w:rsidRPr="003F0ABB">
        <w:rPr>
          <w:iCs/>
        </w:rPr>
        <w:t>extraneous material</w:t>
      </w:r>
      <w:r w:rsidR="005B2BEA" w:rsidRPr="003F0ABB">
        <w:rPr>
          <w:i w:val="0"/>
        </w:rPr>
        <w:t xml:space="preserve"> (i.e. material other than the Constitution)</w:t>
      </w:r>
      <w:r w:rsidR="006532B5" w:rsidRPr="003F0ABB">
        <w:rPr>
          <w:i w:val="0"/>
        </w:rPr>
        <w:t xml:space="preserve">. Where the meaning of the provision appears </w:t>
      </w:r>
      <w:r w:rsidR="006532B5" w:rsidRPr="003F0ABB">
        <w:rPr>
          <w:iCs/>
        </w:rPr>
        <w:t>ambiguous</w:t>
      </w:r>
      <w:r w:rsidR="006532B5" w:rsidRPr="003F0ABB">
        <w:rPr>
          <w:i w:val="0"/>
        </w:rPr>
        <w:t xml:space="preserve"> or obscure, </w:t>
      </w:r>
      <w:r w:rsidR="00CB0871">
        <w:rPr>
          <w:i w:val="0"/>
        </w:rPr>
        <w:t>external</w:t>
      </w:r>
      <w:r w:rsidR="006532B5" w:rsidRPr="003F0ABB">
        <w:rPr>
          <w:i w:val="0"/>
        </w:rPr>
        <w:t xml:space="preserve"> material</w:t>
      </w:r>
      <w:r w:rsidR="00CB0871">
        <w:rPr>
          <w:i w:val="0"/>
        </w:rPr>
        <w:t>s</w:t>
      </w:r>
      <w:r w:rsidR="006532B5" w:rsidRPr="003F0ABB">
        <w:rPr>
          <w:i w:val="0"/>
        </w:rPr>
        <w:t xml:space="preserve"> c</w:t>
      </w:r>
      <w:r w:rsidR="00CB0871">
        <w:rPr>
          <w:i w:val="0"/>
        </w:rPr>
        <w:t>ould</w:t>
      </w:r>
      <w:r w:rsidR="006532B5" w:rsidRPr="003F0ABB">
        <w:rPr>
          <w:i w:val="0"/>
        </w:rPr>
        <w:t xml:space="preserve"> be used to ascertain its meaning</w:t>
      </w:r>
      <w:r w:rsidR="00FD340B" w:rsidRPr="003F0ABB">
        <w:rPr>
          <w:i w:val="0"/>
        </w:rPr>
        <w:t>.</w:t>
      </w:r>
      <w:r w:rsidR="00FD340B" w:rsidRPr="003F0ABB">
        <w:rPr>
          <w:rStyle w:val="FootnoteReference"/>
          <w:i w:val="0"/>
        </w:rPr>
        <w:footnoteReference w:id="3"/>
      </w:r>
    </w:p>
    <w:p w14:paraId="66A65C3F" w14:textId="0CC64700" w:rsidR="009C1EED" w:rsidRDefault="002A2728" w:rsidP="00E97E36">
      <w:pPr>
        <w:widowControl w:val="0"/>
        <w:spacing w:after="0" w:line="240" w:lineRule="auto"/>
        <w:jc w:val="both"/>
        <w:rPr>
          <w:rFonts w:cs="Times New Roman"/>
          <w:szCs w:val="24"/>
        </w:rPr>
      </w:pPr>
      <w:r>
        <w:t>Applying the above</w:t>
      </w:r>
      <w:r w:rsidR="00176BD7">
        <w:t xml:space="preserve"> principles</w:t>
      </w:r>
      <w:r>
        <w:t>, the CA found that Article 49(1) was</w:t>
      </w:r>
      <w:r w:rsidR="000E3D7B">
        <w:rPr>
          <w:rFonts w:cs="Times New Roman"/>
          <w:szCs w:val="24"/>
        </w:rPr>
        <w:t xml:space="preserve"> </w:t>
      </w:r>
      <w:r w:rsidR="00BC62B5">
        <w:rPr>
          <w:rFonts w:cs="Times New Roman"/>
          <w:szCs w:val="24"/>
        </w:rPr>
        <w:t xml:space="preserve">indeed </w:t>
      </w:r>
      <w:r w:rsidR="000E3D7B">
        <w:rPr>
          <w:rFonts w:cs="Times New Roman"/>
          <w:szCs w:val="24"/>
        </w:rPr>
        <w:t>ambiguous</w:t>
      </w:r>
      <w:r>
        <w:rPr>
          <w:rFonts w:cs="Times New Roman"/>
          <w:szCs w:val="24"/>
        </w:rPr>
        <w:t xml:space="preserve"> on its face, in relation to where and how it applied to GRCs.</w:t>
      </w:r>
      <w:r w:rsidR="00190A9F">
        <w:rPr>
          <w:rFonts w:cs="Times New Roman"/>
          <w:szCs w:val="24"/>
        </w:rPr>
        <w:t xml:space="preserve"> </w:t>
      </w:r>
      <w:r w:rsidR="00AB629B">
        <w:rPr>
          <w:rFonts w:cs="Times New Roman"/>
          <w:szCs w:val="24"/>
        </w:rPr>
        <w:t xml:space="preserve">As such, materials </w:t>
      </w:r>
      <w:r w:rsidR="004B02CA">
        <w:t xml:space="preserve">other than the Constitution </w:t>
      </w:r>
      <w:r w:rsidR="00AB629B">
        <w:rPr>
          <w:rFonts w:cs="Times New Roman"/>
          <w:szCs w:val="24"/>
        </w:rPr>
        <w:t xml:space="preserve">could be used to interpret </w:t>
      </w:r>
      <w:r w:rsidR="00DF2EDC">
        <w:rPr>
          <w:rFonts w:cs="Times New Roman"/>
          <w:szCs w:val="24"/>
        </w:rPr>
        <w:t>the</w:t>
      </w:r>
      <w:r w:rsidR="00AB629B">
        <w:rPr>
          <w:rFonts w:cs="Times New Roman"/>
          <w:szCs w:val="24"/>
        </w:rPr>
        <w:t xml:space="preserve"> meaning</w:t>
      </w:r>
      <w:r w:rsidR="00DF2EDC">
        <w:rPr>
          <w:rFonts w:cs="Times New Roman"/>
          <w:szCs w:val="24"/>
        </w:rPr>
        <w:t xml:space="preserve"> of the provision</w:t>
      </w:r>
      <w:r w:rsidR="00AB629B">
        <w:rPr>
          <w:rFonts w:cs="Times New Roman"/>
          <w:szCs w:val="24"/>
        </w:rPr>
        <w:t>.</w:t>
      </w:r>
    </w:p>
    <w:p w14:paraId="73E608BE" w14:textId="1B47BE07" w:rsidR="0074209A" w:rsidRDefault="0074209A" w:rsidP="00E97E36">
      <w:pPr>
        <w:widowControl w:val="0"/>
        <w:spacing w:after="0" w:line="240" w:lineRule="auto"/>
        <w:jc w:val="both"/>
        <w:rPr>
          <w:rFonts w:cs="Times New Roman"/>
          <w:szCs w:val="24"/>
          <w:u w:val="single"/>
        </w:rPr>
      </w:pPr>
    </w:p>
    <w:p w14:paraId="2A51E112" w14:textId="2C462747" w:rsidR="004568A7" w:rsidRPr="004568A7" w:rsidRDefault="001578C1" w:rsidP="00AD389F">
      <w:pPr>
        <w:widowControl w:val="0"/>
        <w:spacing w:after="0" w:line="240" w:lineRule="auto"/>
        <w:ind w:left="720" w:firstLine="720"/>
        <w:jc w:val="both"/>
        <w:rPr>
          <w:rFonts w:cs="Times New Roman"/>
          <w:szCs w:val="24"/>
          <w:u w:val="single"/>
        </w:rPr>
      </w:pPr>
      <w:r>
        <w:rPr>
          <w:rFonts w:cs="Times New Roman"/>
          <w:szCs w:val="24"/>
          <w:u w:val="single"/>
        </w:rPr>
        <w:t xml:space="preserve">(i) </w:t>
      </w:r>
      <w:r w:rsidR="004568A7" w:rsidRPr="004568A7">
        <w:rPr>
          <w:rFonts w:cs="Times New Roman"/>
          <w:szCs w:val="24"/>
          <w:u w:val="single"/>
        </w:rPr>
        <w:t>Ambiguity</w:t>
      </w:r>
    </w:p>
    <w:p w14:paraId="208A6EF9" w14:textId="77777777" w:rsidR="00470408" w:rsidRDefault="00420C78" w:rsidP="00E97E36">
      <w:pPr>
        <w:widowControl w:val="0"/>
        <w:spacing w:after="0" w:line="240" w:lineRule="auto"/>
        <w:jc w:val="both"/>
        <w:rPr>
          <w:rFonts w:cs="Times New Roman"/>
          <w:szCs w:val="24"/>
        </w:rPr>
      </w:pPr>
      <w:r>
        <w:rPr>
          <w:rFonts w:cs="Times New Roman"/>
          <w:szCs w:val="24"/>
        </w:rPr>
        <w:t xml:space="preserve">The CA found </w:t>
      </w:r>
      <w:r w:rsidRPr="00420C78">
        <w:rPr>
          <w:rFonts w:cs="Times New Roman"/>
          <w:szCs w:val="24"/>
        </w:rPr>
        <w:t xml:space="preserve">Article 49(1) </w:t>
      </w:r>
      <w:r>
        <w:rPr>
          <w:rFonts w:cs="Times New Roman"/>
          <w:szCs w:val="24"/>
        </w:rPr>
        <w:t>to be</w:t>
      </w:r>
      <w:r w:rsidRPr="00420C78">
        <w:rPr>
          <w:rFonts w:cs="Times New Roman"/>
          <w:szCs w:val="24"/>
        </w:rPr>
        <w:t xml:space="preserve"> ambiguous in relation to whether and how it applie</w:t>
      </w:r>
      <w:r>
        <w:rPr>
          <w:rFonts w:cs="Times New Roman"/>
          <w:szCs w:val="24"/>
        </w:rPr>
        <w:t>d</w:t>
      </w:r>
      <w:r w:rsidRPr="00420C78">
        <w:rPr>
          <w:rFonts w:cs="Times New Roman"/>
          <w:szCs w:val="24"/>
        </w:rPr>
        <w:t xml:space="preserve"> to GRC</w:t>
      </w:r>
      <w:r>
        <w:rPr>
          <w:rFonts w:cs="Times New Roman"/>
          <w:szCs w:val="24"/>
        </w:rPr>
        <w:t>s</w:t>
      </w:r>
      <w:r w:rsidR="00EA55D1">
        <w:rPr>
          <w:rFonts w:cs="Times New Roman"/>
          <w:szCs w:val="24"/>
        </w:rPr>
        <w:t>, especially when read together with Articles 39A and 46</w:t>
      </w:r>
      <w:r w:rsidR="00156D84">
        <w:rPr>
          <w:rFonts w:cs="Times New Roman"/>
          <w:szCs w:val="24"/>
        </w:rPr>
        <w:t xml:space="preserve"> of the Constitution</w:t>
      </w:r>
      <w:r w:rsidR="00EA55D1">
        <w:rPr>
          <w:rFonts w:cs="Times New Roman"/>
          <w:szCs w:val="24"/>
        </w:rPr>
        <w:t xml:space="preserve">. </w:t>
      </w:r>
    </w:p>
    <w:p w14:paraId="3D3ADA66" w14:textId="77777777" w:rsidR="00470408" w:rsidRDefault="00470408" w:rsidP="00E97E36">
      <w:pPr>
        <w:widowControl w:val="0"/>
        <w:spacing w:after="0" w:line="240" w:lineRule="auto"/>
        <w:jc w:val="both"/>
        <w:rPr>
          <w:rFonts w:cs="Times New Roman"/>
          <w:szCs w:val="24"/>
        </w:rPr>
      </w:pPr>
    </w:p>
    <w:p w14:paraId="25701A36" w14:textId="4EEDFE50" w:rsidR="006B40E8" w:rsidRDefault="00AE4A4A" w:rsidP="00E97E36">
      <w:pPr>
        <w:widowControl w:val="0"/>
        <w:spacing w:after="0" w:line="240" w:lineRule="auto"/>
        <w:jc w:val="both"/>
        <w:rPr>
          <w:rFonts w:cs="Times New Roman"/>
          <w:szCs w:val="24"/>
        </w:rPr>
      </w:pPr>
      <w:r>
        <w:rPr>
          <w:rFonts w:cs="Times New Roman"/>
          <w:szCs w:val="24"/>
        </w:rPr>
        <w:t>First,</w:t>
      </w:r>
      <w:r w:rsidR="00DC1810">
        <w:rPr>
          <w:rFonts w:cs="Times New Roman"/>
          <w:szCs w:val="24"/>
        </w:rPr>
        <w:t xml:space="preserve"> </w:t>
      </w:r>
      <w:r w:rsidR="00420C78">
        <w:rPr>
          <w:rFonts w:cs="Times New Roman"/>
          <w:szCs w:val="24"/>
        </w:rPr>
        <w:t>it</w:t>
      </w:r>
      <w:r w:rsidR="00DC1810">
        <w:rPr>
          <w:rFonts w:cs="Times New Roman"/>
          <w:szCs w:val="24"/>
        </w:rPr>
        <w:t xml:space="preserve"> acknowledged that</w:t>
      </w:r>
      <w:r>
        <w:rPr>
          <w:rFonts w:cs="Times New Roman"/>
          <w:szCs w:val="24"/>
        </w:rPr>
        <w:t xml:space="preserve"> </w:t>
      </w:r>
      <w:r w:rsidR="00272FDF">
        <w:rPr>
          <w:rFonts w:cs="Times New Roman"/>
          <w:szCs w:val="24"/>
        </w:rPr>
        <w:t xml:space="preserve">the words of Article 49(1) </w:t>
      </w:r>
      <w:r w:rsidR="001B0C0E">
        <w:rPr>
          <w:rFonts w:cs="Times New Roman"/>
          <w:szCs w:val="24"/>
        </w:rPr>
        <w:t xml:space="preserve">were </w:t>
      </w:r>
      <w:r w:rsidR="00272FDF">
        <w:rPr>
          <w:rFonts w:cs="Times New Roman"/>
          <w:szCs w:val="24"/>
        </w:rPr>
        <w:t xml:space="preserve">wide enough to include the seats of </w:t>
      </w:r>
      <w:r w:rsidR="00272FDF">
        <w:rPr>
          <w:rFonts w:cs="Times New Roman"/>
          <w:szCs w:val="24"/>
        </w:rPr>
        <w:lastRenderedPageBreak/>
        <w:t>GRC Members</w:t>
      </w:r>
      <w:r w:rsidR="004E5A86">
        <w:rPr>
          <w:rFonts w:cs="Times New Roman"/>
          <w:szCs w:val="24"/>
        </w:rPr>
        <w:t>, as the phrase “seat of a Member” did not distinguish between the seats of SMC and GRC members</w:t>
      </w:r>
      <w:r w:rsidR="00D62D78">
        <w:rPr>
          <w:rFonts w:cs="Times New Roman"/>
          <w:szCs w:val="24"/>
        </w:rPr>
        <w:t>.</w:t>
      </w:r>
      <w:r w:rsidR="004E5A86">
        <w:rPr>
          <w:rFonts w:cs="Times New Roman"/>
          <w:szCs w:val="24"/>
        </w:rPr>
        <w:t xml:space="preserve"> </w:t>
      </w:r>
      <w:r w:rsidR="00F138F5">
        <w:rPr>
          <w:rFonts w:cs="Times New Roman"/>
          <w:szCs w:val="24"/>
        </w:rPr>
        <w:t>Th</w:t>
      </w:r>
      <w:r w:rsidR="00721AEC">
        <w:rPr>
          <w:rFonts w:cs="Times New Roman"/>
          <w:szCs w:val="24"/>
        </w:rPr>
        <w:t>is suggested that the</w:t>
      </w:r>
      <w:r w:rsidR="00272FDF">
        <w:rPr>
          <w:rFonts w:cs="Times New Roman"/>
          <w:szCs w:val="24"/>
        </w:rPr>
        <w:t xml:space="preserve"> provision </w:t>
      </w:r>
      <w:r w:rsidR="004E5A86">
        <w:rPr>
          <w:rFonts w:cs="Times New Roman"/>
          <w:szCs w:val="24"/>
        </w:rPr>
        <w:t xml:space="preserve">could be </w:t>
      </w:r>
      <w:r w:rsidR="00272FDF">
        <w:rPr>
          <w:rFonts w:cs="Times New Roman"/>
          <w:szCs w:val="24"/>
        </w:rPr>
        <w:t xml:space="preserve">intended to apply to seats in a GRC. </w:t>
      </w:r>
      <w:r w:rsidR="00790610">
        <w:rPr>
          <w:rFonts w:cs="Times New Roman"/>
          <w:szCs w:val="24"/>
        </w:rPr>
        <w:t>H</w:t>
      </w:r>
      <w:r w:rsidR="00115069">
        <w:rPr>
          <w:rFonts w:cs="Times New Roman"/>
          <w:szCs w:val="24"/>
        </w:rPr>
        <w:t>owever</w:t>
      </w:r>
      <w:r w:rsidR="00272FDF">
        <w:rPr>
          <w:rFonts w:cs="Times New Roman"/>
          <w:szCs w:val="24"/>
        </w:rPr>
        <w:t>,</w:t>
      </w:r>
      <w:r w:rsidR="005935EF">
        <w:rPr>
          <w:rFonts w:cs="Times New Roman"/>
          <w:szCs w:val="24"/>
        </w:rPr>
        <w:t xml:space="preserve"> the “vacancy” </w:t>
      </w:r>
      <w:r w:rsidR="00CE30A3">
        <w:rPr>
          <w:rFonts w:cs="Times New Roman"/>
          <w:szCs w:val="24"/>
        </w:rPr>
        <w:t xml:space="preserve">in Article 49(1) </w:t>
      </w:r>
      <w:r w:rsidR="005935EF">
        <w:rPr>
          <w:rFonts w:cs="Times New Roman"/>
          <w:szCs w:val="24"/>
        </w:rPr>
        <w:t xml:space="preserve">referred only to the vacancy left in “the seat of a Member” – i.e. it presupposed the existence of a vacancy </w:t>
      </w:r>
      <w:r w:rsidR="005935EF">
        <w:rPr>
          <w:rFonts w:cs="Times New Roman"/>
          <w:i/>
          <w:iCs/>
          <w:szCs w:val="24"/>
        </w:rPr>
        <w:t>in a particular seat</w:t>
      </w:r>
      <w:r w:rsidR="005935EF">
        <w:rPr>
          <w:rFonts w:cs="Times New Roman"/>
          <w:szCs w:val="24"/>
        </w:rPr>
        <w:t xml:space="preserve"> before a by-election had to be called for that seat.</w:t>
      </w:r>
      <w:r w:rsidR="00CF5A48">
        <w:rPr>
          <w:rFonts w:cs="Times New Roman"/>
          <w:szCs w:val="24"/>
        </w:rPr>
        <w:t xml:space="preserve"> </w:t>
      </w:r>
      <w:r w:rsidR="001D5C5A">
        <w:rPr>
          <w:rFonts w:cs="Times New Roman"/>
          <w:szCs w:val="24"/>
        </w:rPr>
        <w:t>Article 39A(1)(</w:t>
      </w:r>
      <w:r w:rsidR="001D5C5A" w:rsidRPr="00DF4A2D">
        <w:rPr>
          <w:rFonts w:cs="Times New Roman"/>
          <w:i/>
          <w:iCs/>
          <w:szCs w:val="24"/>
        </w:rPr>
        <w:t>a</w:t>
      </w:r>
      <w:r w:rsidR="001D5C5A">
        <w:rPr>
          <w:rFonts w:cs="Times New Roman"/>
          <w:szCs w:val="24"/>
        </w:rPr>
        <w:t>) also stated that GRC elections must be held “on the basis of a group.” Read together, Articles 49(1) and 39A(1)(</w:t>
      </w:r>
      <w:r w:rsidR="001D5C5A">
        <w:rPr>
          <w:rFonts w:cs="Times New Roman"/>
          <w:i/>
          <w:iCs/>
          <w:szCs w:val="24"/>
        </w:rPr>
        <w:t>a</w:t>
      </w:r>
      <w:r w:rsidR="001D5C5A">
        <w:rPr>
          <w:rFonts w:cs="Times New Roman"/>
          <w:szCs w:val="24"/>
        </w:rPr>
        <w:t>) suggest</w:t>
      </w:r>
      <w:r w:rsidR="00721AEC">
        <w:rPr>
          <w:rFonts w:cs="Times New Roman"/>
          <w:szCs w:val="24"/>
        </w:rPr>
        <w:t>ed</w:t>
      </w:r>
      <w:r w:rsidR="001D5C5A">
        <w:rPr>
          <w:rFonts w:cs="Times New Roman"/>
          <w:szCs w:val="24"/>
        </w:rPr>
        <w:t xml:space="preserve"> that a by-election in a GRC </w:t>
      </w:r>
      <w:r w:rsidR="00577202">
        <w:rPr>
          <w:rFonts w:cs="Times New Roman"/>
          <w:szCs w:val="24"/>
        </w:rPr>
        <w:t>could</w:t>
      </w:r>
      <w:r w:rsidR="001D5C5A">
        <w:rPr>
          <w:rFonts w:cs="Times New Roman"/>
          <w:szCs w:val="24"/>
        </w:rPr>
        <w:t xml:space="preserve"> only be conducted if </w:t>
      </w:r>
      <w:r w:rsidR="001D5C5A">
        <w:rPr>
          <w:rFonts w:cs="Times New Roman"/>
          <w:i/>
          <w:iCs/>
          <w:szCs w:val="24"/>
        </w:rPr>
        <w:t>all the Members</w:t>
      </w:r>
      <w:r w:rsidR="001D5C5A">
        <w:rPr>
          <w:rFonts w:cs="Times New Roman"/>
          <w:szCs w:val="24"/>
        </w:rPr>
        <w:t xml:space="preserve"> of that GRC (and not just one Member) ha</w:t>
      </w:r>
      <w:r w:rsidR="00EE3A7B">
        <w:rPr>
          <w:rFonts w:cs="Times New Roman"/>
          <w:szCs w:val="24"/>
        </w:rPr>
        <w:t>d</w:t>
      </w:r>
      <w:r w:rsidR="001D5C5A">
        <w:rPr>
          <w:rFonts w:cs="Times New Roman"/>
          <w:szCs w:val="24"/>
        </w:rPr>
        <w:t xml:space="preserve"> vacated their seats.</w:t>
      </w:r>
      <w:r w:rsidR="00120604">
        <w:rPr>
          <w:rFonts w:cs="Times New Roman"/>
          <w:szCs w:val="24"/>
        </w:rPr>
        <w:t xml:space="preserve"> However</w:t>
      </w:r>
      <w:r w:rsidR="002548C6">
        <w:rPr>
          <w:rFonts w:cs="Times New Roman"/>
          <w:szCs w:val="24"/>
        </w:rPr>
        <w:t xml:space="preserve">, </w:t>
      </w:r>
      <w:r w:rsidR="006B40E8">
        <w:rPr>
          <w:rFonts w:cs="Times New Roman"/>
          <w:szCs w:val="24"/>
        </w:rPr>
        <w:t>neither Article 49(1) or 39A(1)(</w:t>
      </w:r>
      <w:r w:rsidR="006B40E8">
        <w:rPr>
          <w:rFonts w:cs="Times New Roman"/>
          <w:i/>
          <w:iCs/>
          <w:szCs w:val="24"/>
        </w:rPr>
        <w:t>a</w:t>
      </w:r>
      <w:r w:rsidR="006B40E8">
        <w:rPr>
          <w:rFonts w:cs="Times New Roman"/>
          <w:szCs w:val="24"/>
        </w:rPr>
        <w:t xml:space="preserve">) expressly provided for the </w:t>
      </w:r>
      <w:r w:rsidR="00F156AB">
        <w:rPr>
          <w:rFonts w:cs="Times New Roman"/>
          <w:szCs w:val="24"/>
        </w:rPr>
        <w:t>other Members of the GRC to also vacate their seats</w:t>
      </w:r>
      <w:r w:rsidR="00120604">
        <w:rPr>
          <w:rFonts w:cs="Times New Roman"/>
          <w:szCs w:val="24"/>
        </w:rPr>
        <w:t xml:space="preserve"> in a situation where only one Member of the GRC </w:t>
      </w:r>
      <w:r w:rsidR="003B1866">
        <w:rPr>
          <w:rFonts w:cs="Times New Roman"/>
          <w:szCs w:val="24"/>
        </w:rPr>
        <w:t xml:space="preserve">vacated </w:t>
      </w:r>
      <w:r w:rsidR="00120604">
        <w:rPr>
          <w:rFonts w:cs="Times New Roman"/>
          <w:szCs w:val="24"/>
        </w:rPr>
        <w:t>his or her seat</w:t>
      </w:r>
      <w:r w:rsidR="006B40E8">
        <w:rPr>
          <w:rFonts w:cs="Times New Roman"/>
          <w:szCs w:val="24"/>
        </w:rPr>
        <w:t>.</w:t>
      </w:r>
    </w:p>
    <w:p w14:paraId="58DBEF8E" w14:textId="77777777" w:rsidR="006B40E8" w:rsidRPr="006B40E8" w:rsidRDefault="006B40E8" w:rsidP="00E97E36">
      <w:pPr>
        <w:widowControl w:val="0"/>
        <w:spacing w:after="0" w:line="240" w:lineRule="auto"/>
        <w:jc w:val="both"/>
        <w:rPr>
          <w:rFonts w:cs="Times New Roman"/>
          <w:szCs w:val="24"/>
        </w:rPr>
      </w:pPr>
    </w:p>
    <w:p w14:paraId="56634221" w14:textId="032D99DD" w:rsidR="00D82C6B" w:rsidRDefault="00666A6E" w:rsidP="00E97E36">
      <w:pPr>
        <w:widowControl w:val="0"/>
        <w:spacing w:after="0" w:line="240" w:lineRule="auto"/>
        <w:jc w:val="both"/>
        <w:rPr>
          <w:rFonts w:cs="Times New Roman"/>
          <w:szCs w:val="24"/>
        </w:rPr>
      </w:pPr>
      <w:r>
        <w:rPr>
          <w:rFonts w:cs="Times New Roman"/>
          <w:szCs w:val="24"/>
        </w:rPr>
        <w:t xml:space="preserve">Second, </w:t>
      </w:r>
      <w:r w:rsidR="00A7796D">
        <w:rPr>
          <w:rFonts w:cs="Times New Roman"/>
          <w:szCs w:val="24"/>
        </w:rPr>
        <w:t>Article 46</w:t>
      </w:r>
      <w:r w:rsidR="00DC1810">
        <w:rPr>
          <w:rFonts w:cs="Times New Roman"/>
          <w:szCs w:val="24"/>
        </w:rPr>
        <w:t xml:space="preserve"> </w:t>
      </w:r>
      <w:r w:rsidR="00604BEC">
        <w:rPr>
          <w:rFonts w:cs="Times New Roman"/>
          <w:szCs w:val="24"/>
        </w:rPr>
        <w:t xml:space="preserve">exhaustively set out the circumstances in which Members </w:t>
      </w:r>
      <w:r w:rsidR="004525D9">
        <w:rPr>
          <w:rFonts w:cs="Times New Roman"/>
          <w:szCs w:val="24"/>
        </w:rPr>
        <w:t>were</w:t>
      </w:r>
      <w:r w:rsidR="00604BEC">
        <w:rPr>
          <w:rFonts w:cs="Times New Roman"/>
          <w:szCs w:val="24"/>
        </w:rPr>
        <w:t xml:space="preserve"> to vacate their seats</w:t>
      </w:r>
      <w:r w:rsidR="00DC1810">
        <w:rPr>
          <w:rFonts w:cs="Times New Roman"/>
          <w:szCs w:val="24"/>
        </w:rPr>
        <w:t>, yet</w:t>
      </w:r>
      <w:r w:rsidR="00007A2E" w:rsidRPr="00007A2E">
        <w:t xml:space="preserve"> </w:t>
      </w:r>
      <w:r w:rsidR="00007A2E" w:rsidRPr="00181812">
        <w:rPr>
          <w:rFonts w:cs="Times New Roman"/>
          <w:i/>
          <w:iCs/>
          <w:szCs w:val="24"/>
        </w:rPr>
        <w:t>none</w:t>
      </w:r>
      <w:r w:rsidR="00007A2E" w:rsidRPr="00007A2E">
        <w:rPr>
          <w:rFonts w:cs="Times New Roman"/>
          <w:szCs w:val="24"/>
        </w:rPr>
        <w:t xml:space="preserve"> of these pertain</w:t>
      </w:r>
      <w:r w:rsidR="00007A2E">
        <w:rPr>
          <w:rFonts w:cs="Times New Roman"/>
          <w:szCs w:val="24"/>
        </w:rPr>
        <w:t>ed</w:t>
      </w:r>
      <w:r w:rsidR="00007A2E" w:rsidRPr="00007A2E">
        <w:rPr>
          <w:rFonts w:cs="Times New Roman"/>
          <w:szCs w:val="24"/>
        </w:rPr>
        <w:t xml:space="preserve"> to the situation where one Member of a GRC vacat</w:t>
      </w:r>
      <w:r w:rsidR="00E1109C">
        <w:rPr>
          <w:rFonts w:cs="Times New Roman"/>
          <w:szCs w:val="24"/>
        </w:rPr>
        <w:t>e</w:t>
      </w:r>
      <w:r w:rsidR="008C182B">
        <w:rPr>
          <w:rFonts w:cs="Times New Roman"/>
          <w:szCs w:val="24"/>
        </w:rPr>
        <w:t>d</w:t>
      </w:r>
      <w:r w:rsidR="00007A2E" w:rsidRPr="00007A2E">
        <w:rPr>
          <w:rFonts w:cs="Times New Roman"/>
          <w:szCs w:val="24"/>
        </w:rPr>
        <w:t xml:space="preserve"> his or her seat</w:t>
      </w:r>
      <w:r w:rsidR="00007A2E">
        <w:rPr>
          <w:rFonts w:cs="Times New Roman"/>
          <w:szCs w:val="24"/>
        </w:rPr>
        <w:t>. Thus it appeared that Article 46</w:t>
      </w:r>
      <w:r w:rsidR="00B41257">
        <w:rPr>
          <w:rFonts w:cs="Times New Roman"/>
          <w:szCs w:val="24"/>
        </w:rPr>
        <w:t>,</w:t>
      </w:r>
      <w:r w:rsidR="00DC1810">
        <w:rPr>
          <w:rFonts w:cs="Times New Roman"/>
          <w:szCs w:val="24"/>
        </w:rPr>
        <w:t xml:space="preserve"> </w:t>
      </w:r>
      <w:r w:rsidR="002C2F86">
        <w:rPr>
          <w:rFonts w:cs="Times New Roman"/>
          <w:szCs w:val="24"/>
        </w:rPr>
        <w:t>too</w:t>
      </w:r>
      <w:r w:rsidR="00B41257">
        <w:rPr>
          <w:rFonts w:cs="Times New Roman"/>
          <w:szCs w:val="24"/>
        </w:rPr>
        <w:t>,</w:t>
      </w:r>
      <w:r w:rsidR="00607DF3" w:rsidRPr="00607DF3">
        <w:rPr>
          <w:rFonts w:cs="Times New Roman"/>
          <w:szCs w:val="24"/>
        </w:rPr>
        <w:t xml:space="preserve"> d</w:t>
      </w:r>
      <w:r w:rsidR="00607DF3">
        <w:rPr>
          <w:rFonts w:cs="Times New Roman"/>
          <w:szCs w:val="24"/>
        </w:rPr>
        <w:t>id</w:t>
      </w:r>
      <w:r w:rsidR="00607DF3" w:rsidRPr="00607DF3">
        <w:rPr>
          <w:rFonts w:cs="Times New Roman"/>
          <w:szCs w:val="24"/>
        </w:rPr>
        <w:t xml:space="preserve"> not contemplate that all the seats in a GRC as a whole would be deemed vacant </w:t>
      </w:r>
      <w:r w:rsidR="001A64BB">
        <w:rPr>
          <w:rFonts w:cs="Times New Roman"/>
          <w:szCs w:val="24"/>
        </w:rPr>
        <w:t>when</w:t>
      </w:r>
      <w:r w:rsidR="00607DF3" w:rsidRPr="00607DF3">
        <w:rPr>
          <w:rFonts w:cs="Times New Roman"/>
          <w:szCs w:val="24"/>
        </w:rPr>
        <w:t xml:space="preserve"> only one Member vacate</w:t>
      </w:r>
      <w:r w:rsidR="00607DF3">
        <w:rPr>
          <w:rFonts w:cs="Times New Roman"/>
          <w:szCs w:val="24"/>
        </w:rPr>
        <w:t>d</w:t>
      </w:r>
      <w:r w:rsidR="00607DF3" w:rsidRPr="00607DF3">
        <w:rPr>
          <w:rFonts w:cs="Times New Roman"/>
          <w:szCs w:val="24"/>
        </w:rPr>
        <w:t xml:space="preserve"> his or her seat</w:t>
      </w:r>
      <w:r w:rsidR="00194C9C">
        <w:rPr>
          <w:rFonts w:cs="Times New Roman"/>
          <w:szCs w:val="24"/>
        </w:rPr>
        <w:t>.</w:t>
      </w:r>
      <w:r w:rsidR="00062C5C">
        <w:rPr>
          <w:rFonts w:cs="Times New Roman"/>
          <w:szCs w:val="24"/>
        </w:rPr>
        <w:t xml:space="preserve"> </w:t>
      </w:r>
    </w:p>
    <w:p w14:paraId="70739068" w14:textId="77777777" w:rsidR="00D82C6B" w:rsidRDefault="00D82C6B" w:rsidP="00E97E36">
      <w:pPr>
        <w:widowControl w:val="0"/>
        <w:spacing w:after="0" w:line="240" w:lineRule="auto"/>
        <w:jc w:val="both"/>
        <w:rPr>
          <w:rFonts w:cs="Times New Roman"/>
          <w:szCs w:val="24"/>
        </w:rPr>
      </w:pPr>
    </w:p>
    <w:p w14:paraId="4252DA24" w14:textId="31F4416D" w:rsidR="00FB2EC6" w:rsidRDefault="00ED23FC" w:rsidP="00E97E36">
      <w:pPr>
        <w:widowControl w:val="0"/>
        <w:spacing w:after="0" w:line="240" w:lineRule="auto"/>
        <w:jc w:val="both"/>
        <w:rPr>
          <w:rFonts w:cs="Times New Roman"/>
          <w:szCs w:val="24"/>
        </w:rPr>
      </w:pPr>
      <w:r w:rsidRPr="00ED23FC">
        <w:rPr>
          <w:rFonts w:cs="Times New Roman"/>
          <w:szCs w:val="24"/>
        </w:rPr>
        <w:t>Hence, based on the words of Art</w:t>
      </w:r>
      <w:r>
        <w:rPr>
          <w:rFonts w:cs="Times New Roman"/>
          <w:szCs w:val="24"/>
        </w:rPr>
        <w:t>icles</w:t>
      </w:r>
      <w:r w:rsidRPr="00ED23FC">
        <w:rPr>
          <w:rFonts w:cs="Times New Roman"/>
          <w:szCs w:val="24"/>
        </w:rPr>
        <w:t xml:space="preserve"> 49, </w:t>
      </w:r>
      <w:r>
        <w:rPr>
          <w:rFonts w:cs="Times New Roman"/>
          <w:szCs w:val="24"/>
        </w:rPr>
        <w:t xml:space="preserve">39A and </w:t>
      </w:r>
      <w:r w:rsidRPr="00ED23FC">
        <w:rPr>
          <w:rFonts w:cs="Times New Roman"/>
          <w:szCs w:val="24"/>
        </w:rPr>
        <w:t>46</w:t>
      </w:r>
      <w:r>
        <w:rPr>
          <w:rFonts w:cs="Times New Roman"/>
          <w:szCs w:val="24"/>
        </w:rPr>
        <w:t>,</w:t>
      </w:r>
      <w:r w:rsidRPr="00ED23FC">
        <w:rPr>
          <w:rFonts w:cs="Times New Roman"/>
          <w:szCs w:val="24"/>
        </w:rPr>
        <w:t xml:space="preserve"> it </w:t>
      </w:r>
      <w:r>
        <w:rPr>
          <w:rFonts w:cs="Times New Roman"/>
          <w:szCs w:val="24"/>
        </w:rPr>
        <w:t>was</w:t>
      </w:r>
      <w:r w:rsidRPr="00ED23FC">
        <w:rPr>
          <w:rFonts w:cs="Times New Roman"/>
          <w:szCs w:val="24"/>
        </w:rPr>
        <w:t xml:space="preserve"> unclear whether Art</w:t>
      </w:r>
      <w:r>
        <w:rPr>
          <w:rFonts w:cs="Times New Roman"/>
          <w:szCs w:val="24"/>
        </w:rPr>
        <w:t>icle</w:t>
      </w:r>
      <w:r w:rsidRPr="00ED23FC">
        <w:rPr>
          <w:rFonts w:cs="Times New Roman"/>
          <w:szCs w:val="24"/>
        </w:rPr>
        <w:t xml:space="preserve"> 49(1) appl</w:t>
      </w:r>
      <w:r>
        <w:rPr>
          <w:rFonts w:cs="Times New Roman"/>
          <w:szCs w:val="24"/>
        </w:rPr>
        <w:t>ied</w:t>
      </w:r>
      <w:r w:rsidRPr="00ED23FC">
        <w:rPr>
          <w:rFonts w:cs="Times New Roman"/>
          <w:szCs w:val="24"/>
        </w:rPr>
        <w:t xml:space="preserve"> to GRCs at all.</w:t>
      </w:r>
      <w:r w:rsidR="002764B3">
        <w:rPr>
          <w:rFonts w:cs="Times New Roman"/>
          <w:szCs w:val="24"/>
        </w:rPr>
        <w:t xml:space="preserve"> A</w:t>
      </w:r>
      <w:r w:rsidR="00C7219D">
        <w:rPr>
          <w:rFonts w:cs="Times New Roman"/>
          <w:szCs w:val="24"/>
        </w:rPr>
        <w:t xml:space="preserve">lthough Article 49(1) was phrased in terms that could be wide enough to </w:t>
      </w:r>
      <w:r w:rsidR="00DE65C6">
        <w:rPr>
          <w:rFonts w:cs="Times New Roman"/>
          <w:szCs w:val="24"/>
        </w:rPr>
        <w:t xml:space="preserve">include the interpretation that a by-election </w:t>
      </w:r>
      <w:r w:rsidR="00DE65C6">
        <w:rPr>
          <w:rFonts w:cs="Times New Roman"/>
          <w:i/>
          <w:iCs/>
          <w:szCs w:val="24"/>
        </w:rPr>
        <w:t>shall</w:t>
      </w:r>
      <w:r w:rsidR="00DE65C6">
        <w:rPr>
          <w:rFonts w:cs="Times New Roman"/>
          <w:szCs w:val="24"/>
        </w:rPr>
        <w:t xml:space="preserve"> be called when a single seat in a GRC has been vacated, </w:t>
      </w:r>
      <w:r w:rsidR="00467D2D">
        <w:rPr>
          <w:rFonts w:cs="Times New Roman"/>
          <w:szCs w:val="24"/>
        </w:rPr>
        <w:t>the Constitution was</w:t>
      </w:r>
      <w:r w:rsidR="005D5700">
        <w:rPr>
          <w:rFonts w:cs="Times New Roman"/>
          <w:szCs w:val="24"/>
        </w:rPr>
        <w:t xml:space="preserve"> nonetheless</w:t>
      </w:r>
      <w:r w:rsidR="00467D2D">
        <w:rPr>
          <w:rFonts w:cs="Times New Roman"/>
          <w:szCs w:val="24"/>
        </w:rPr>
        <w:t xml:space="preserve"> conspicuously silent </w:t>
      </w:r>
      <w:r w:rsidR="00AE3C06">
        <w:rPr>
          <w:rFonts w:cs="Times New Roman"/>
          <w:szCs w:val="24"/>
        </w:rPr>
        <w:t xml:space="preserve">on this matter, </w:t>
      </w:r>
      <w:r w:rsidR="00467D2D">
        <w:rPr>
          <w:rFonts w:cs="Times New Roman"/>
          <w:szCs w:val="24"/>
        </w:rPr>
        <w:t xml:space="preserve">and </w:t>
      </w:r>
      <w:r w:rsidR="00467D2D" w:rsidRPr="005B586C">
        <w:rPr>
          <w:rFonts w:cs="Times New Roman"/>
          <w:i/>
          <w:iCs/>
          <w:szCs w:val="24"/>
        </w:rPr>
        <w:t xml:space="preserve">did not </w:t>
      </w:r>
      <w:r w:rsidR="00D10B5C" w:rsidRPr="005B586C">
        <w:rPr>
          <w:rFonts w:cs="Times New Roman"/>
          <w:i/>
          <w:iCs/>
          <w:szCs w:val="24"/>
        </w:rPr>
        <w:t>expressly compel</w:t>
      </w:r>
      <w:r w:rsidR="00D10B5C">
        <w:rPr>
          <w:rFonts w:cs="Times New Roman"/>
          <w:szCs w:val="24"/>
        </w:rPr>
        <w:t xml:space="preserve"> the other Members of the affected GRC to vacate their seats in such a scenario</w:t>
      </w:r>
      <w:r w:rsidR="00B76F75">
        <w:rPr>
          <w:rFonts w:cs="Times New Roman"/>
          <w:szCs w:val="24"/>
        </w:rPr>
        <w:t xml:space="preserve">. </w:t>
      </w:r>
      <w:r w:rsidR="00073D42">
        <w:rPr>
          <w:rFonts w:cs="Times New Roman"/>
          <w:szCs w:val="24"/>
        </w:rPr>
        <w:t>But</w:t>
      </w:r>
      <w:r w:rsidR="00EB58BA">
        <w:rPr>
          <w:rFonts w:cs="Times New Roman"/>
          <w:szCs w:val="24"/>
        </w:rPr>
        <w:t>, again,</w:t>
      </w:r>
      <w:r w:rsidR="00073D42">
        <w:rPr>
          <w:rFonts w:cs="Times New Roman"/>
          <w:szCs w:val="24"/>
        </w:rPr>
        <w:t xml:space="preserve"> the vacating of </w:t>
      </w:r>
      <w:r w:rsidR="00022EF5">
        <w:rPr>
          <w:rFonts w:cs="Times New Roman"/>
          <w:szCs w:val="24"/>
        </w:rPr>
        <w:t xml:space="preserve">all </w:t>
      </w:r>
      <w:r w:rsidR="00073D42">
        <w:rPr>
          <w:rFonts w:cs="Times New Roman"/>
          <w:szCs w:val="24"/>
        </w:rPr>
        <w:t xml:space="preserve">seats </w:t>
      </w:r>
      <w:r w:rsidR="00222759">
        <w:rPr>
          <w:rFonts w:cs="Times New Roman"/>
          <w:szCs w:val="24"/>
        </w:rPr>
        <w:t>was</w:t>
      </w:r>
      <w:r w:rsidR="001B2193">
        <w:rPr>
          <w:rFonts w:cs="Times New Roman"/>
          <w:szCs w:val="24"/>
        </w:rPr>
        <w:t xml:space="preserve"> a necessary precondition before a by-election in a GRC </w:t>
      </w:r>
      <w:r w:rsidR="00533AB4">
        <w:rPr>
          <w:rFonts w:cs="Times New Roman"/>
          <w:szCs w:val="24"/>
        </w:rPr>
        <w:t>could</w:t>
      </w:r>
      <w:r w:rsidR="001B2193">
        <w:rPr>
          <w:rFonts w:cs="Times New Roman"/>
          <w:szCs w:val="24"/>
        </w:rPr>
        <w:t xml:space="preserve"> be held. </w:t>
      </w:r>
      <w:r w:rsidR="00C31B2F">
        <w:rPr>
          <w:rFonts w:cs="Times New Roman"/>
          <w:szCs w:val="24"/>
        </w:rPr>
        <w:t>The CA</w:t>
      </w:r>
      <w:r>
        <w:rPr>
          <w:rFonts w:cs="Times New Roman"/>
          <w:szCs w:val="24"/>
        </w:rPr>
        <w:t xml:space="preserve"> further</w:t>
      </w:r>
      <w:r w:rsidR="00C31B2F">
        <w:rPr>
          <w:rFonts w:cs="Times New Roman"/>
          <w:szCs w:val="24"/>
        </w:rPr>
        <w:t xml:space="preserve"> noted that</w:t>
      </w:r>
      <w:r w:rsidR="0076250B">
        <w:rPr>
          <w:rFonts w:cs="Times New Roman"/>
          <w:szCs w:val="24"/>
        </w:rPr>
        <w:t xml:space="preserve"> u</w:t>
      </w:r>
      <w:r w:rsidR="009324BC">
        <w:rPr>
          <w:rFonts w:cs="Times New Roman"/>
          <w:szCs w:val="24"/>
        </w:rPr>
        <w:t>nder</w:t>
      </w:r>
      <w:r w:rsidR="001B2193">
        <w:rPr>
          <w:rFonts w:cs="Times New Roman"/>
          <w:szCs w:val="24"/>
        </w:rPr>
        <w:t xml:space="preserve"> Article 49(1) itself, vacancies must be </w:t>
      </w:r>
      <w:r w:rsidR="001B2193" w:rsidRPr="00AB244F">
        <w:rPr>
          <w:rFonts w:cs="Times New Roman"/>
          <w:szCs w:val="24"/>
        </w:rPr>
        <w:t>filled</w:t>
      </w:r>
      <w:r w:rsidR="001B2193">
        <w:rPr>
          <w:rFonts w:cs="Times New Roman"/>
          <w:szCs w:val="24"/>
        </w:rPr>
        <w:t xml:space="preserve"> by election </w:t>
      </w:r>
      <w:r w:rsidR="001B2193" w:rsidRPr="00AB244F">
        <w:rPr>
          <w:rFonts w:cs="Times New Roman"/>
          <w:i/>
          <w:iCs/>
          <w:szCs w:val="24"/>
        </w:rPr>
        <w:t>according to the law</w:t>
      </w:r>
      <w:r w:rsidR="001B2193">
        <w:rPr>
          <w:rFonts w:cs="Times New Roman"/>
          <w:szCs w:val="24"/>
        </w:rPr>
        <w:t xml:space="preserve"> governing Parliamentary elections at the time. </w:t>
      </w:r>
      <w:r w:rsidR="005D6684">
        <w:rPr>
          <w:rFonts w:cs="Times New Roman"/>
          <w:szCs w:val="24"/>
        </w:rPr>
        <w:t xml:space="preserve">But there was </w:t>
      </w:r>
      <w:r w:rsidR="005D6684">
        <w:rPr>
          <w:rFonts w:cs="Times New Roman"/>
          <w:i/>
          <w:iCs/>
          <w:szCs w:val="24"/>
        </w:rPr>
        <w:t xml:space="preserve">no </w:t>
      </w:r>
      <w:r w:rsidR="005D6684">
        <w:rPr>
          <w:rFonts w:cs="Times New Roman"/>
          <w:szCs w:val="24"/>
        </w:rPr>
        <w:t>such law</w:t>
      </w:r>
      <w:r w:rsidR="00667498">
        <w:rPr>
          <w:rFonts w:cs="Times New Roman"/>
          <w:szCs w:val="24"/>
        </w:rPr>
        <w:t xml:space="preserve"> in this regard</w:t>
      </w:r>
      <w:r w:rsidR="005D6684">
        <w:rPr>
          <w:rFonts w:cs="Times New Roman"/>
          <w:szCs w:val="24"/>
        </w:rPr>
        <w:t>. Indeed</w:t>
      </w:r>
      <w:r w:rsidR="00265AFD">
        <w:rPr>
          <w:rFonts w:cs="Times New Roman"/>
          <w:szCs w:val="24"/>
        </w:rPr>
        <w:t xml:space="preserve">, </w:t>
      </w:r>
      <w:r w:rsidR="00D8198C">
        <w:rPr>
          <w:rFonts w:cs="Times New Roman"/>
          <w:szCs w:val="24"/>
        </w:rPr>
        <w:t xml:space="preserve">section 24(2A) of the </w:t>
      </w:r>
      <w:r w:rsidR="00D8198C" w:rsidRPr="003F0ABB">
        <w:rPr>
          <w:rFonts w:cs="Times New Roman"/>
          <w:szCs w:val="24"/>
        </w:rPr>
        <w:t>Parliamentary Elections Act (Cap 218, 2011 Rev Ed) (“the</w:t>
      </w:r>
      <w:r w:rsidR="00D8198C" w:rsidRPr="00807BD3">
        <w:rPr>
          <w:rFonts w:cs="Times New Roman"/>
          <w:szCs w:val="24"/>
        </w:rPr>
        <w:t xml:space="preserve"> </w:t>
      </w:r>
      <w:r w:rsidR="00D8198C" w:rsidRPr="00267633">
        <w:rPr>
          <w:rFonts w:cs="Times New Roman"/>
          <w:b/>
          <w:bCs/>
          <w:szCs w:val="24"/>
        </w:rPr>
        <w:t>PEA</w:t>
      </w:r>
      <w:r w:rsidR="00D8198C" w:rsidRPr="0060053E">
        <w:rPr>
          <w:rFonts w:cs="Times New Roman"/>
          <w:szCs w:val="24"/>
        </w:rPr>
        <w:t>”)</w:t>
      </w:r>
      <w:r w:rsidR="005D6684" w:rsidRPr="0060053E">
        <w:rPr>
          <w:rFonts w:cs="Times New Roman"/>
          <w:szCs w:val="24"/>
        </w:rPr>
        <w:t xml:space="preserve"> e</w:t>
      </w:r>
      <w:r w:rsidR="005D6684">
        <w:rPr>
          <w:rFonts w:cs="Times New Roman"/>
          <w:szCs w:val="24"/>
        </w:rPr>
        <w:t xml:space="preserve">xpressly </w:t>
      </w:r>
      <w:r w:rsidR="005D6684" w:rsidRPr="00611397">
        <w:rPr>
          <w:rFonts w:cs="Times New Roman"/>
          <w:i/>
          <w:iCs/>
          <w:szCs w:val="24"/>
        </w:rPr>
        <w:t>prohibits</w:t>
      </w:r>
      <w:r w:rsidR="005D6684">
        <w:rPr>
          <w:rFonts w:cs="Times New Roman"/>
          <w:szCs w:val="24"/>
        </w:rPr>
        <w:t xml:space="preserve"> the holding of a by-election in a GRC so long as not all the GRC seats have been vacated</w:t>
      </w:r>
      <w:r w:rsidR="002F68D2">
        <w:rPr>
          <w:rFonts w:cs="Times New Roman"/>
          <w:szCs w:val="24"/>
        </w:rPr>
        <w:t xml:space="preserve">. </w:t>
      </w:r>
    </w:p>
    <w:p w14:paraId="26A6713B" w14:textId="77777777" w:rsidR="00FB2EC6" w:rsidRDefault="00FB2EC6" w:rsidP="00E97E36">
      <w:pPr>
        <w:widowControl w:val="0"/>
        <w:spacing w:after="0" w:line="240" w:lineRule="auto"/>
        <w:jc w:val="both"/>
        <w:rPr>
          <w:rFonts w:cs="Times New Roman"/>
          <w:szCs w:val="24"/>
        </w:rPr>
      </w:pPr>
    </w:p>
    <w:p w14:paraId="4E4E947D" w14:textId="15BCCDDB" w:rsidR="001238DB" w:rsidRDefault="002540E3" w:rsidP="00E97E36">
      <w:pPr>
        <w:widowControl w:val="0"/>
        <w:spacing w:after="0" w:line="240" w:lineRule="auto"/>
        <w:jc w:val="both"/>
        <w:rPr>
          <w:rFonts w:cs="Times New Roman"/>
          <w:szCs w:val="24"/>
        </w:rPr>
      </w:pPr>
      <w:r w:rsidRPr="00B46A50">
        <w:rPr>
          <w:rFonts w:cs="Times New Roman"/>
          <w:szCs w:val="24"/>
        </w:rPr>
        <w:t>On this point</w:t>
      </w:r>
      <w:r w:rsidR="00831F15" w:rsidRPr="00B46A50">
        <w:rPr>
          <w:rFonts w:cs="Times New Roman"/>
          <w:szCs w:val="24"/>
        </w:rPr>
        <w:t xml:space="preserve">, </w:t>
      </w:r>
      <w:r w:rsidR="002F68D2" w:rsidRPr="00B46A50">
        <w:rPr>
          <w:rFonts w:cs="Times New Roman"/>
          <w:szCs w:val="24"/>
        </w:rPr>
        <w:t xml:space="preserve">both parties </w:t>
      </w:r>
      <w:r w:rsidR="00831F15" w:rsidRPr="00B46A50">
        <w:rPr>
          <w:rFonts w:cs="Times New Roman"/>
          <w:szCs w:val="24"/>
        </w:rPr>
        <w:t>agreed</w:t>
      </w:r>
      <w:r w:rsidR="002F68D2" w:rsidRPr="00B46A50">
        <w:rPr>
          <w:rFonts w:cs="Times New Roman"/>
          <w:szCs w:val="24"/>
        </w:rPr>
        <w:t xml:space="preserve"> that there was a legislative oversight in the implementation of the GRC scheme</w:t>
      </w:r>
      <w:r w:rsidR="00E76ACD" w:rsidRPr="00B46A50">
        <w:rPr>
          <w:rFonts w:cs="Times New Roman"/>
          <w:szCs w:val="24"/>
        </w:rPr>
        <w:t xml:space="preserve">, in that </w:t>
      </w:r>
      <w:r w:rsidR="00831F15" w:rsidRPr="00B46A50">
        <w:rPr>
          <w:rFonts w:cs="Times New Roman"/>
          <w:szCs w:val="24"/>
        </w:rPr>
        <w:t>Parliament</w:t>
      </w:r>
      <w:r w:rsidR="00E76ACD" w:rsidRPr="00B46A50">
        <w:rPr>
          <w:rFonts w:cs="Times New Roman"/>
          <w:szCs w:val="24"/>
        </w:rPr>
        <w:t xml:space="preserve"> had</w:t>
      </w:r>
      <w:r w:rsidR="00831F15" w:rsidRPr="00B46A50">
        <w:rPr>
          <w:rFonts w:cs="Times New Roman"/>
          <w:szCs w:val="24"/>
        </w:rPr>
        <w:t xml:space="preserve"> intended that a by-election would only be called in a GRC if all the Members of the GRC had vacated their seats (as reflected in s</w:t>
      </w:r>
      <w:r w:rsidR="00807BD3" w:rsidRPr="00B46A50">
        <w:rPr>
          <w:rFonts w:cs="Times New Roman"/>
          <w:szCs w:val="24"/>
        </w:rPr>
        <w:t>ection</w:t>
      </w:r>
      <w:r w:rsidR="00831F15" w:rsidRPr="00B46A50">
        <w:rPr>
          <w:rFonts w:cs="Times New Roman"/>
          <w:szCs w:val="24"/>
        </w:rPr>
        <w:t xml:space="preserve"> 24(2A) of the PEA)</w:t>
      </w:r>
      <w:r w:rsidR="00E76ACD" w:rsidRPr="00B46A50">
        <w:rPr>
          <w:rFonts w:cs="Times New Roman"/>
          <w:szCs w:val="24"/>
        </w:rPr>
        <w:t>, but</w:t>
      </w:r>
      <w:r w:rsidR="00EB660F">
        <w:rPr>
          <w:rFonts w:cs="Times New Roman"/>
          <w:szCs w:val="24"/>
        </w:rPr>
        <w:t xml:space="preserve"> had</w:t>
      </w:r>
      <w:r w:rsidR="00E76ACD" w:rsidRPr="00B46A50">
        <w:rPr>
          <w:rFonts w:cs="Times New Roman"/>
          <w:szCs w:val="24"/>
        </w:rPr>
        <w:t xml:space="preserve"> failed to</w:t>
      </w:r>
      <w:r w:rsidR="00831F15" w:rsidRPr="00B46A50">
        <w:rPr>
          <w:rFonts w:cs="Times New Roman"/>
          <w:szCs w:val="24"/>
        </w:rPr>
        <w:t xml:space="preserve"> include a provision in the Constitution to achieve this result.</w:t>
      </w:r>
      <w:r w:rsidR="00E157B3">
        <w:rPr>
          <w:rFonts w:cs="Times New Roman"/>
          <w:szCs w:val="24"/>
        </w:rPr>
        <w:t xml:space="preserve"> </w:t>
      </w:r>
      <w:r w:rsidR="00053BE4">
        <w:rPr>
          <w:rFonts w:cs="Times New Roman"/>
          <w:szCs w:val="24"/>
        </w:rPr>
        <w:t>The CA found that this</w:t>
      </w:r>
      <w:r w:rsidR="009F0744">
        <w:rPr>
          <w:rFonts w:cs="Times New Roman"/>
          <w:szCs w:val="24"/>
        </w:rPr>
        <w:t xml:space="preserve"> too, </w:t>
      </w:r>
      <w:r w:rsidR="009F0744" w:rsidRPr="009F0744">
        <w:rPr>
          <w:rFonts w:cs="Times New Roman"/>
          <w:szCs w:val="24"/>
        </w:rPr>
        <w:t>strongly militate</w:t>
      </w:r>
      <w:r w:rsidR="009F0744">
        <w:rPr>
          <w:rFonts w:cs="Times New Roman"/>
          <w:szCs w:val="24"/>
        </w:rPr>
        <w:t>d</w:t>
      </w:r>
      <w:r w:rsidR="009F0744" w:rsidRPr="009F0744">
        <w:rPr>
          <w:rFonts w:cs="Times New Roman"/>
          <w:szCs w:val="24"/>
        </w:rPr>
        <w:t xml:space="preserve"> against a </w:t>
      </w:r>
      <w:r w:rsidR="004050C9">
        <w:rPr>
          <w:rFonts w:cs="Times New Roman"/>
          <w:szCs w:val="24"/>
        </w:rPr>
        <w:t>conclusion</w:t>
      </w:r>
      <w:r w:rsidR="009F0744" w:rsidRPr="009F0744">
        <w:rPr>
          <w:rFonts w:cs="Times New Roman"/>
          <w:szCs w:val="24"/>
        </w:rPr>
        <w:t xml:space="preserve"> that the meaning of Art</w:t>
      </w:r>
      <w:r w:rsidR="004050C9">
        <w:rPr>
          <w:rFonts w:cs="Times New Roman"/>
          <w:szCs w:val="24"/>
        </w:rPr>
        <w:t>icle</w:t>
      </w:r>
      <w:r w:rsidR="009F0744" w:rsidRPr="009F0744">
        <w:rPr>
          <w:rFonts w:cs="Times New Roman"/>
          <w:szCs w:val="24"/>
        </w:rPr>
        <w:t xml:space="preserve"> 49(1) </w:t>
      </w:r>
      <w:r w:rsidR="000F34E5">
        <w:rPr>
          <w:rFonts w:cs="Times New Roman"/>
          <w:szCs w:val="24"/>
        </w:rPr>
        <w:t>was</w:t>
      </w:r>
      <w:r w:rsidR="009F0744" w:rsidRPr="009F0744">
        <w:rPr>
          <w:rFonts w:cs="Times New Roman"/>
          <w:szCs w:val="24"/>
        </w:rPr>
        <w:t xml:space="preserve"> “clear”</w:t>
      </w:r>
      <w:r w:rsidR="000F34E5">
        <w:rPr>
          <w:rFonts w:cs="Times New Roman"/>
          <w:szCs w:val="24"/>
        </w:rPr>
        <w:t>.</w:t>
      </w:r>
      <w:r w:rsidR="007C5E92">
        <w:rPr>
          <w:rFonts w:cs="Times New Roman"/>
          <w:szCs w:val="24"/>
        </w:rPr>
        <w:t xml:space="preserve"> </w:t>
      </w:r>
      <w:r w:rsidR="007C5E92" w:rsidRPr="007C5E92">
        <w:rPr>
          <w:rFonts w:cs="Times New Roman"/>
          <w:szCs w:val="24"/>
        </w:rPr>
        <w:t xml:space="preserve">If the amendments made to the Constitution </w:t>
      </w:r>
      <w:r w:rsidR="007C5E92">
        <w:rPr>
          <w:rFonts w:cs="Times New Roman"/>
          <w:szCs w:val="24"/>
        </w:rPr>
        <w:t xml:space="preserve">to </w:t>
      </w:r>
      <w:r w:rsidR="007C5E92" w:rsidRPr="007C5E92">
        <w:rPr>
          <w:rFonts w:cs="Times New Roman"/>
          <w:szCs w:val="24"/>
        </w:rPr>
        <w:t xml:space="preserve">put in place the GRC scheme were insufficient to achieve their intended outcome, then it </w:t>
      </w:r>
      <w:r w:rsidR="008560C8">
        <w:rPr>
          <w:rFonts w:cs="Times New Roman"/>
          <w:szCs w:val="24"/>
        </w:rPr>
        <w:t>was</w:t>
      </w:r>
      <w:r w:rsidR="007C5E92" w:rsidRPr="007C5E92">
        <w:rPr>
          <w:rFonts w:cs="Times New Roman"/>
          <w:szCs w:val="24"/>
        </w:rPr>
        <w:t xml:space="preserve"> likely that the relevant provisions of the Constitution, when read together, would appear ambiguous or unclear.</w:t>
      </w:r>
      <w:r w:rsidR="00D973A3">
        <w:rPr>
          <w:rFonts w:cs="Times New Roman"/>
          <w:szCs w:val="24"/>
        </w:rPr>
        <w:t xml:space="preserve"> </w:t>
      </w:r>
    </w:p>
    <w:p w14:paraId="13BA3A5C" w14:textId="77777777" w:rsidR="001238DB" w:rsidRDefault="001238DB" w:rsidP="00E97E36">
      <w:pPr>
        <w:widowControl w:val="0"/>
        <w:spacing w:after="0" w:line="240" w:lineRule="auto"/>
        <w:jc w:val="both"/>
        <w:rPr>
          <w:rFonts w:cs="Times New Roman"/>
          <w:szCs w:val="24"/>
        </w:rPr>
      </w:pPr>
    </w:p>
    <w:p w14:paraId="216DD6A6" w14:textId="11A3A959" w:rsidR="009F4F66" w:rsidRPr="009F4F66" w:rsidRDefault="001578C1" w:rsidP="00AD389F">
      <w:pPr>
        <w:widowControl w:val="0"/>
        <w:spacing w:after="0" w:line="240" w:lineRule="auto"/>
        <w:ind w:left="720" w:firstLine="720"/>
        <w:jc w:val="both"/>
        <w:rPr>
          <w:rFonts w:cs="Times New Roman"/>
          <w:szCs w:val="24"/>
          <w:u w:val="single"/>
        </w:rPr>
      </w:pPr>
      <w:r>
        <w:rPr>
          <w:rFonts w:cs="Times New Roman"/>
          <w:szCs w:val="24"/>
          <w:u w:val="single"/>
        </w:rPr>
        <w:t xml:space="preserve">(ii) </w:t>
      </w:r>
      <w:r w:rsidR="009F4F66">
        <w:rPr>
          <w:rFonts w:cs="Times New Roman"/>
          <w:szCs w:val="24"/>
          <w:u w:val="single"/>
        </w:rPr>
        <w:t>Extraneous material</w:t>
      </w:r>
    </w:p>
    <w:p w14:paraId="788FA763" w14:textId="5DA6098D" w:rsidR="006B0989" w:rsidRDefault="007E09F0" w:rsidP="00E97E36">
      <w:pPr>
        <w:widowControl w:val="0"/>
        <w:spacing w:after="0" w:line="240" w:lineRule="auto"/>
        <w:jc w:val="both"/>
      </w:pPr>
      <w:r>
        <w:rPr>
          <w:rFonts w:cs="Times New Roman"/>
          <w:szCs w:val="24"/>
        </w:rPr>
        <w:t>Since Article 49(1) was ambiguous,</w:t>
      </w:r>
      <w:r w:rsidR="00E67300">
        <w:rPr>
          <w:rFonts w:cs="Times New Roman"/>
          <w:szCs w:val="24"/>
        </w:rPr>
        <w:t xml:space="preserve"> </w:t>
      </w:r>
      <w:r w:rsidR="0030798C">
        <w:rPr>
          <w:rFonts w:cs="Times New Roman"/>
          <w:szCs w:val="24"/>
        </w:rPr>
        <w:t>the CA decided it</w:t>
      </w:r>
      <w:r w:rsidR="00323BD3" w:rsidRPr="007844A9">
        <w:rPr>
          <w:rFonts w:cs="Times New Roman"/>
          <w:szCs w:val="24"/>
        </w:rPr>
        <w:t xml:space="preserve"> </w:t>
      </w:r>
      <w:r w:rsidR="004C63BE">
        <w:rPr>
          <w:rFonts w:cs="Times New Roman"/>
          <w:szCs w:val="24"/>
        </w:rPr>
        <w:t>could</w:t>
      </w:r>
      <w:r w:rsidR="00323BD3" w:rsidRPr="007844A9">
        <w:rPr>
          <w:rFonts w:cs="Times New Roman"/>
          <w:szCs w:val="24"/>
        </w:rPr>
        <w:t xml:space="preserve"> rely on </w:t>
      </w:r>
      <w:r w:rsidR="00152DC7">
        <w:rPr>
          <w:rFonts w:cs="Times New Roman"/>
          <w:szCs w:val="24"/>
        </w:rPr>
        <w:t>external</w:t>
      </w:r>
      <w:r w:rsidR="00323BD3" w:rsidRPr="007844A9">
        <w:rPr>
          <w:rFonts w:cs="Times New Roman"/>
          <w:szCs w:val="24"/>
        </w:rPr>
        <w:t xml:space="preserve"> material to ascertain </w:t>
      </w:r>
      <w:r w:rsidR="007806A8">
        <w:rPr>
          <w:rFonts w:cs="Times New Roman"/>
          <w:szCs w:val="24"/>
        </w:rPr>
        <w:t>its</w:t>
      </w:r>
      <w:r w:rsidR="00E67300" w:rsidRPr="007844A9">
        <w:rPr>
          <w:rFonts w:cs="Times New Roman"/>
          <w:szCs w:val="24"/>
        </w:rPr>
        <w:t xml:space="preserve"> </w:t>
      </w:r>
      <w:r w:rsidR="00323BD3" w:rsidRPr="007844A9">
        <w:rPr>
          <w:rFonts w:cs="Times New Roman"/>
          <w:szCs w:val="24"/>
        </w:rPr>
        <w:t xml:space="preserve">true meaning </w:t>
      </w:r>
      <w:r w:rsidR="00626458">
        <w:rPr>
          <w:rFonts w:cs="Times New Roman"/>
          <w:szCs w:val="24"/>
        </w:rPr>
        <w:t>as applied</w:t>
      </w:r>
      <w:r w:rsidR="00323BD3" w:rsidRPr="007844A9">
        <w:rPr>
          <w:rFonts w:cs="Times New Roman"/>
          <w:szCs w:val="24"/>
        </w:rPr>
        <w:t xml:space="preserve"> to GRCs.</w:t>
      </w:r>
      <w:r w:rsidR="004A26BD">
        <w:t xml:space="preserve"> </w:t>
      </w:r>
      <w:r w:rsidR="008B5DF8">
        <w:t>R</w:t>
      </w:r>
      <w:r w:rsidR="00EF705A" w:rsidRPr="00D62448">
        <w:t>eferr</w:t>
      </w:r>
      <w:r w:rsidR="008B5DF8">
        <w:t>ing</w:t>
      </w:r>
      <w:r w:rsidR="00EF705A" w:rsidRPr="00D62448">
        <w:t xml:space="preserve"> to the relevant Parliamentary debates</w:t>
      </w:r>
      <w:r w:rsidR="00EF705A">
        <w:t xml:space="preserve">, </w:t>
      </w:r>
      <w:r w:rsidR="008B5DF8">
        <w:t xml:space="preserve">the CA stated </w:t>
      </w:r>
      <w:r w:rsidR="00EF705A">
        <w:t xml:space="preserve">it was clear that </w:t>
      </w:r>
      <w:r w:rsidR="00BC4913">
        <w:t>Parliament</w:t>
      </w:r>
      <w:r w:rsidR="00EF705A">
        <w:t xml:space="preserve"> never intended that a single vacancy in a GRC would trigger the obligation to call a by-election. The CA </w:t>
      </w:r>
      <w:r w:rsidR="00827CD1">
        <w:t>referred to</w:t>
      </w:r>
      <w:r w:rsidR="00EF705A">
        <w:t xml:space="preserve"> the following </w:t>
      </w:r>
      <w:r w:rsidR="005B351B">
        <w:t xml:space="preserve">debate </w:t>
      </w:r>
      <w:r w:rsidR="00EF705A">
        <w:t>statements:</w:t>
      </w:r>
      <w:r w:rsidR="00145AD2">
        <w:t xml:space="preserve"> </w:t>
      </w:r>
    </w:p>
    <w:p w14:paraId="5BD4530E" w14:textId="1F7F12ED" w:rsidR="00927127" w:rsidRDefault="00927127" w:rsidP="00AC759B">
      <w:pPr>
        <w:widowControl w:val="0"/>
        <w:spacing w:after="0" w:line="240" w:lineRule="auto"/>
        <w:ind w:left="357" w:right="237"/>
        <w:jc w:val="both"/>
      </w:pPr>
      <w:r>
        <w:t>“</w:t>
      </w:r>
      <w:r w:rsidR="006B0989" w:rsidRPr="006B0989">
        <w:t>GRCs are meant to ensure a multi-racial Parliament</w:t>
      </w:r>
      <w:r w:rsidR="006B0989">
        <w:t xml:space="preserve"> …</w:t>
      </w:r>
      <w:r w:rsidR="006B0989" w:rsidRPr="006B0989">
        <w:t xml:space="preserve"> </w:t>
      </w:r>
      <w:r w:rsidR="00425AA2" w:rsidRPr="00425AA2">
        <w:t xml:space="preserve">We will not want to provide for by-election to replace somebody who has vacated his office </w:t>
      </w:r>
      <w:r w:rsidR="0005322C">
        <w:t>[because]</w:t>
      </w:r>
      <w:r w:rsidR="00425AA2" w:rsidRPr="00425AA2">
        <w:t xml:space="preserve"> </w:t>
      </w:r>
      <w:r w:rsidR="0005322C">
        <w:t xml:space="preserve">… </w:t>
      </w:r>
      <w:r w:rsidR="00E859CC">
        <w:t>[</w:t>
      </w:r>
      <w:r w:rsidR="0005322C">
        <w:t>i</w:t>
      </w:r>
      <w:r w:rsidR="00E859CC">
        <w:t>]</w:t>
      </w:r>
      <w:r w:rsidRPr="00927127">
        <w:t>f you provide for compulsory by-election to fill that vacancy, you are introducing the possibility that one MP can hold the other two to ransom.</w:t>
      </w:r>
      <w:r w:rsidR="00C535EC">
        <w:t xml:space="preserve"> …</w:t>
      </w:r>
      <w:r w:rsidR="00C535EC" w:rsidRPr="00C535EC">
        <w:t xml:space="preserve"> </w:t>
      </w:r>
      <w:r w:rsidR="001C786C">
        <w:t>[If two out of three]</w:t>
      </w:r>
      <w:r w:rsidR="00C535EC" w:rsidRPr="00C535EC">
        <w:t xml:space="preserve"> MPs were to vacate office, the other one who has been duly elected by the people ... should remain.</w:t>
      </w:r>
      <w:r>
        <w:t>”</w:t>
      </w:r>
    </w:p>
    <w:p w14:paraId="6EE29223" w14:textId="77777777" w:rsidR="00927127" w:rsidRDefault="00927127" w:rsidP="00E97E36">
      <w:pPr>
        <w:widowControl w:val="0"/>
        <w:spacing w:after="0" w:line="240" w:lineRule="auto"/>
        <w:jc w:val="both"/>
      </w:pPr>
    </w:p>
    <w:p w14:paraId="1D098CA3" w14:textId="127ED468" w:rsidR="007C129A" w:rsidRDefault="007B5CFD" w:rsidP="00E97E36">
      <w:pPr>
        <w:widowControl w:val="0"/>
        <w:spacing w:after="0" w:line="240" w:lineRule="auto"/>
        <w:jc w:val="both"/>
      </w:pPr>
      <w:r>
        <w:t>Based on the above</w:t>
      </w:r>
      <w:r w:rsidR="005E1A4B" w:rsidRPr="007844A9">
        <w:t>,</w:t>
      </w:r>
      <w:r>
        <w:t xml:space="preserve"> the CA </w:t>
      </w:r>
      <w:r w:rsidR="007D5DCA">
        <w:t>noted</w:t>
      </w:r>
      <w:r>
        <w:t xml:space="preserve"> that</w:t>
      </w:r>
      <w:r w:rsidR="005E1A4B" w:rsidRPr="007844A9">
        <w:t xml:space="preserve"> in designing the legislative architecture to give effect to the GRC scheme, Parliament intended that there would be </w:t>
      </w:r>
      <w:r w:rsidR="005E1A4B" w:rsidRPr="00E137E5">
        <w:rPr>
          <w:i/>
          <w:iCs/>
        </w:rPr>
        <w:t>no</w:t>
      </w:r>
      <w:r w:rsidR="005E1A4B" w:rsidRPr="007844A9">
        <w:t xml:space="preserve"> requirement to call a by-election </w:t>
      </w:r>
      <w:r w:rsidR="005E1A4B" w:rsidRPr="007844A9">
        <w:lastRenderedPageBreak/>
        <w:t xml:space="preserve">if one or even more than one Member of a GRC were to vacate his or her seat. Instead, a by-election in a GRC would only have to be called if </w:t>
      </w:r>
      <w:r w:rsidR="005E1A4B" w:rsidRPr="00E137E5">
        <w:rPr>
          <w:i/>
          <w:iCs/>
        </w:rPr>
        <w:t>all</w:t>
      </w:r>
      <w:r w:rsidR="005E1A4B" w:rsidRPr="007844A9">
        <w:t xml:space="preserve"> the Members representing that GRC were to vacate their seats. </w:t>
      </w:r>
      <w:r w:rsidR="009F652C" w:rsidRPr="00B368B2">
        <w:t>Moreover</w:t>
      </w:r>
      <w:r w:rsidR="00462ECF" w:rsidRPr="00B368B2">
        <w:t xml:space="preserve">, </w:t>
      </w:r>
      <w:r w:rsidR="00462ECF">
        <w:t>Parliament had specifically considered the risk of minority representation being diminished in this situation, and had decided that this risk was an acceptable trade-off</w:t>
      </w:r>
      <w:r w:rsidR="00BD0CC5">
        <w:t>,</w:t>
      </w:r>
      <w:r w:rsidR="00462ECF">
        <w:t xml:space="preserve"> for preventing a Member of a GRC from otherwise being able to hold  </w:t>
      </w:r>
      <w:r w:rsidR="00BB7964">
        <w:t>“</w:t>
      </w:r>
      <w:r w:rsidR="00462ECF">
        <w:t xml:space="preserve">the </w:t>
      </w:r>
      <w:r w:rsidR="00BB7964">
        <w:t xml:space="preserve">other </w:t>
      </w:r>
      <w:r w:rsidR="00462ECF">
        <w:t xml:space="preserve">Members of </w:t>
      </w:r>
      <w:r w:rsidR="00BB7964">
        <w:t>the team</w:t>
      </w:r>
      <w:r w:rsidR="00462ECF">
        <w:t xml:space="preserve"> to ransom</w:t>
      </w:r>
      <w:r w:rsidR="003E2BC1">
        <w:t>.</w:t>
      </w:r>
      <w:r w:rsidR="00D06CFE">
        <w:t>”</w:t>
      </w:r>
    </w:p>
    <w:p w14:paraId="247E5339" w14:textId="1D4B803C" w:rsidR="00580367" w:rsidRDefault="00580367" w:rsidP="00E97E36">
      <w:pPr>
        <w:widowControl w:val="0"/>
        <w:spacing w:after="0" w:line="240" w:lineRule="auto"/>
        <w:jc w:val="both"/>
      </w:pPr>
    </w:p>
    <w:p w14:paraId="6A17044E" w14:textId="4B6ED6BF" w:rsidR="00580367" w:rsidRDefault="00580367" w:rsidP="00E97E36">
      <w:pPr>
        <w:widowControl w:val="0"/>
        <w:spacing w:after="0" w:line="240" w:lineRule="auto"/>
        <w:jc w:val="both"/>
      </w:pPr>
      <w:r>
        <w:t xml:space="preserve">While it was clear from the Parliamentary debates that Parliament intended </w:t>
      </w:r>
      <w:r w:rsidRPr="00765C85">
        <w:t xml:space="preserve">that a vacancy in the seat of a GRC Member would not </w:t>
      </w:r>
      <w:r>
        <w:t xml:space="preserve">oblige the Government </w:t>
      </w:r>
      <w:r w:rsidRPr="00765C85">
        <w:t>to call a by-election</w:t>
      </w:r>
      <w:r>
        <w:t xml:space="preserve">, it was not clear </w:t>
      </w:r>
      <w:r>
        <w:rPr>
          <w:i/>
          <w:iCs/>
        </w:rPr>
        <w:t>how</w:t>
      </w:r>
      <w:r>
        <w:t xml:space="preserve"> Parliament thought it would effect this result. Parliament could have intended:</w:t>
      </w:r>
    </w:p>
    <w:p w14:paraId="100D06DF" w14:textId="7783833A" w:rsidR="00580367" w:rsidRPr="00EA55A3" w:rsidRDefault="00580367" w:rsidP="00E97E36">
      <w:pPr>
        <w:pStyle w:val="Heading3"/>
        <w:widowControl w:val="0"/>
        <w:numPr>
          <w:ilvl w:val="0"/>
          <w:numId w:val="29"/>
        </w:numPr>
        <w:spacing w:after="0" w:line="240" w:lineRule="auto"/>
        <w:jc w:val="both"/>
        <w:rPr>
          <w:i w:val="0"/>
        </w:rPr>
      </w:pPr>
      <w:r w:rsidRPr="00EA55A3">
        <w:rPr>
          <w:i w:val="0"/>
        </w:rPr>
        <w:t>to amend Article 49(1) to reflect its intent that no by-election would be held in a GRC so long as not all the GRC Members had vacated their seats, but failed to do so;</w:t>
      </w:r>
    </w:p>
    <w:p w14:paraId="5ECD4704" w14:textId="32D38AF3" w:rsidR="00580367" w:rsidRPr="00EA55A3" w:rsidRDefault="00580367" w:rsidP="00E97E36">
      <w:pPr>
        <w:pStyle w:val="Heading3"/>
        <w:widowControl w:val="0"/>
        <w:numPr>
          <w:ilvl w:val="0"/>
          <w:numId w:val="29"/>
        </w:numPr>
        <w:spacing w:after="0" w:line="240" w:lineRule="auto"/>
        <w:jc w:val="both"/>
        <w:rPr>
          <w:i w:val="0"/>
        </w:rPr>
      </w:pPr>
      <w:r w:rsidRPr="00EA55A3">
        <w:rPr>
          <w:i w:val="0"/>
        </w:rPr>
        <w:t>that Article 39A would be the provision which regulated all matters pertaining to GRCs (including the filling of vacancies). As such, Article 49(1) would not have any application to GRCs at all; or</w:t>
      </w:r>
    </w:p>
    <w:p w14:paraId="042A5287" w14:textId="341468DC" w:rsidR="00580367" w:rsidRPr="00EA55A3" w:rsidRDefault="00580367" w:rsidP="00E97E36">
      <w:pPr>
        <w:pStyle w:val="Heading3"/>
        <w:widowControl w:val="0"/>
        <w:numPr>
          <w:ilvl w:val="0"/>
          <w:numId w:val="29"/>
        </w:numPr>
        <w:spacing w:after="0" w:line="240" w:lineRule="auto"/>
        <w:jc w:val="both"/>
        <w:rPr>
          <w:i w:val="0"/>
        </w:rPr>
      </w:pPr>
      <w:r w:rsidRPr="00EA55A3">
        <w:rPr>
          <w:i w:val="0"/>
        </w:rPr>
        <w:t>that Article 49(1) would apply to GRCs, but thought that the phrase “in the manner provided by or under any law relating to Parliamentary elections” was sufficient.</w:t>
      </w:r>
    </w:p>
    <w:p w14:paraId="74833F0E" w14:textId="0B741D08" w:rsidR="00580367" w:rsidRDefault="00580367" w:rsidP="00E97E36">
      <w:pPr>
        <w:widowControl w:val="0"/>
        <w:spacing w:after="0" w:line="240" w:lineRule="auto"/>
        <w:jc w:val="both"/>
      </w:pPr>
      <w:r>
        <w:t xml:space="preserve">Based on these options, the CA observed that </w:t>
      </w:r>
      <w:r w:rsidRPr="00965220">
        <w:t xml:space="preserve">if there </w:t>
      </w:r>
      <w:r>
        <w:t>was</w:t>
      </w:r>
      <w:r w:rsidRPr="00965220">
        <w:t xml:space="preserve"> a reasonable possibility</w:t>
      </w:r>
      <w:r>
        <w:t xml:space="preserve"> (based on options 2 and 3 above)</w:t>
      </w:r>
      <w:r w:rsidRPr="00965220">
        <w:t xml:space="preserve"> that Parliament did not intend to amend a provision to put </w:t>
      </w:r>
      <w:r>
        <w:t>in place the</w:t>
      </w:r>
      <w:r w:rsidRPr="00965220">
        <w:t xml:space="preserve"> intended outcome, </w:t>
      </w:r>
      <w:r>
        <w:t>could</w:t>
      </w:r>
      <w:r w:rsidRPr="00965220">
        <w:t xml:space="preserve"> </w:t>
      </w:r>
      <w:r>
        <w:t>the courts then</w:t>
      </w:r>
      <w:r w:rsidRPr="00965220">
        <w:t xml:space="preserve"> read in such an amendment</w:t>
      </w:r>
      <w:r>
        <w:t>? The CA further noted that</w:t>
      </w:r>
      <w:r w:rsidRPr="005D1246">
        <w:t xml:space="preserve"> </w:t>
      </w:r>
      <w:r>
        <w:t>interpreting Article 49(1) in the manner provided under option 3 could hypothetically allow a simple majority in Parliament to denude Article 49(1), a constitutional provision, of its effect</w:t>
      </w:r>
      <w:r w:rsidRPr="005D1246">
        <w:t>.</w:t>
      </w:r>
      <w:r>
        <w:t xml:space="preserve"> It</w:t>
      </w:r>
      <w:r w:rsidRPr="009C0E5D">
        <w:t xml:space="preserve"> would </w:t>
      </w:r>
      <w:r>
        <w:t xml:space="preserve">not </w:t>
      </w:r>
      <w:r w:rsidRPr="009C0E5D">
        <w:t>be permissible to construe Art</w:t>
      </w:r>
      <w:r>
        <w:t>icle</w:t>
      </w:r>
      <w:r w:rsidRPr="009C0E5D">
        <w:t xml:space="preserve"> 49(1) as if it allowed Parliament, in effect, to act contrary to the limitations on Parliament that </w:t>
      </w:r>
      <w:r>
        <w:t>were</w:t>
      </w:r>
      <w:r w:rsidRPr="009C0E5D">
        <w:t xml:space="preserve"> imposed by the Constitution.</w:t>
      </w:r>
      <w:r>
        <w:t xml:space="preserve"> </w:t>
      </w:r>
      <w:r w:rsidR="0056512A">
        <w:t>Th</w:t>
      </w:r>
      <w:r w:rsidR="00BD0CC5">
        <w:t>e</w:t>
      </w:r>
      <w:r w:rsidR="0056512A">
        <w:t>s</w:t>
      </w:r>
      <w:r w:rsidR="00BD0CC5">
        <w:t>e</w:t>
      </w:r>
      <w:r w:rsidR="0056512A">
        <w:t xml:space="preserve"> observations would affect the CA’s interpretation of Article 49(1).</w:t>
      </w:r>
    </w:p>
    <w:p w14:paraId="74907060" w14:textId="77777777" w:rsidR="005E1A4B" w:rsidRPr="000E3D7B" w:rsidRDefault="005E1A4B" w:rsidP="00E97E36">
      <w:pPr>
        <w:widowControl w:val="0"/>
        <w:spacing w:after="0" w:line="240" w:lineRule="auto"/>
        <w:jc w:val="both"/>
      </w:pPr>
    </w:p>
    <w:p w14:paraId="244C49E5" w14:textId="1257541B" w:rsidR="00FB1611" w:rsidRPr="00B347F1" w:rsidRDefault="00FD1927" w:rsidP="00E97E36">
      <w:pPr>
        <w:pStyle w:val="Heading3"/>
        <w:widowControl w:val="0"/>
        <w:spacing w:after="0" w:line="240" w:lineRule="auto"/>
        <w:jc w:val="both"/>
      </w:pPr>
      <w:r w:rsidRPr="00B347F1">
        <w:t>The proper interpretation of Art</w:t>
      </w:r>
      <w:r w:rsidR="00DD5114" w:rsidRPr="00B347F1">
        <w:t>icle</w:t>
      </w:r>
      <w:r w:rsidRPr="00B347F1">
        <w:t xml:space="preserve"> 49(1)</w:t>
      </w:r>
    </w:p>
    <w:p w14:paraId="66A4A416" w14:textId="6B66C4C2" w:rsidR="00EF391E" w:rsidRPr="000F3552" w:rsidRDefault="00A670F7" w:rsidP="00E97E36">
      <w:pPr>
        <w:widowControl w:val="0"/>
        <w:spacing w:after="0" w:line="240" w:lineRule="auto"/>
        <w:jc w:val="both"/>
      </w:pPr>
      <w:r>
        <w:t xml:space="preserve">Looking at the three </w:t>
      </w:r>
      <w:r w:rsidR="008D44E2">
        <w:t xml:space="preserve">possible </w:t>
      </w:r>
      <w:r>
        <w:t xml:space="preserve">interpretations </w:t>
      </w:r>
      <w:r w:rsidR="002A775C">
        <w:t xml:space="preserve">initially </w:t>
      </w:r>
      <w:r w:rsidR="004D1C45">
        <w:t>raised</w:t>
      </w:r>
      <w:r>
        <w:t xml:space="preserve"> by the parties</w:t>
      </w:r>
      <w:r w:rsidR="00D16CC9">
        <w:t xml:space="preserve"> through the above lens</w:t>
      </w:r>
      <w:r>
        <w:t>, t</w:t>
      </w:r>
      <w:r w:rsidR="000917E1">
        <w:t xml:space="preserve">he CA </w:t>
      </w:r>
      <w:r w:rsidR="007B13EC">
        <w:t xml:space="preserve">then </w:t>
      </w:r>
      <w:r>
        <w:t>concluded</w:t>
      </w:r>
      <w:r w:rsidR="000917E1">
        <w:t xml:space="preserve"> that the appropriate </w:t>
      </w:r>
      <w:r w:rsidR="00EF391E">
        <w:t xml:space="preserve">interpretation </w:t>
      </w:r>
      <w:r w:rsidR="000917E1">
        <w:t xml:space="preserve">of Article 49(1) was </w:t>
      </w:r>
      <w:r w:rsidR="00C46FD5">
        <w:t xml:space="preserve">that </w:t>
      </w:r>
      <w:r w:rsidR="000917E1">
        <w:t xml:space="preserve">the </w:t>
      </w:r>
      <w:r w:rsidR="00164761">
        <w:t xml:space="preserve">words “seat of a Member” referred only to the seat of an SMC Member </w:t>
      </w:r>
      <w:r w:rsidR="00206606">
        <w:t>(</w:t>
      </w:r>
      <w:r w:rsidR="00206606">
        <w:rPr>
          <w:b/>
          <w:bCs/>
        </w:rPr>
        <w:t xml:space="preserve">Interpretation </w:t>
      </w:r>
      <w:r w:rsidR="00EA0A91">
        <w:rPr>
          <w:b/>
          <w:bCs/>
        </w:rPr>
        <w:t>3</w:t>
      </w:r>
      <w:r w:rsidR="00206606">
        <w:t xml:space="preserve">, suggested by the </w:t>
      </w:r>
      <w:r w:rsidR="003A541D">
        <w:t>AG)</w:t>
      </w:r>
      <w:r w:rsidR="00206606">
        <w:t xml:space="preserve">, </w:t>
      </w:r>
      <w:r w:rsidR="00164761">
        <w:t>i</w:t>
      </w:r>
      <w:r w:rsidR="009547FC">
        <w:t>.e.</w:t>
      </w:r>
      <w:r w:rsidR="00164761">
        <w:t xml:space="preserve"> </w:t>
      </w:r>
      <w:r w:rsidR="00340A29">
        <w:t xml:space="preserve">that </w:t>
      </w:r>
      <w:r w:rsidR="00164761" w:rsidRPr="00110F06">
        <w:rPr>
          <w:i/>
          <w:iCs/>
        </w:rPr>
        <w:t xml:space="preserve">the </w:t>
      </w:r>
      <w:r w:rsidR="000917E1" w:rsidRPr="00110F06">
        <w:rPr>
          <w:i/>
          <w:iCs/>
        </w:rPr>
        <w:t>provision did not apply to GRCs</w:t>
      </w:r>
      <w:r w:rsidR="00164761" w:rsidRPr="00110F06">
        <w:rPr>
          <w:i/>
          <w:iCs/>
        </w:rPr>
        <w:t xml:space="preserve"> at all</w:t>
      </w:r>
      <w:r w:rsidR="009220F5">
        <w:t xml:space="preserve">. As such, </w:t>
      </w:r>
      <w:r w:rsidR="00946DB7" w:rsidRPr="00946DB7">
        <w:t xml:space="preserve">there </w:t>
      </w:r>
      <w:r w:rsidR="00946DB7">
        <w:t>was</w:t>
      </w:r>
      <w:r w:rsidR="00946DB7" w:rsidRPr="00946DB7">
        <w:t xml:space="preserve"> no requirement for a by-election to be called in MYT GRC.</w:t>
      </w:r>
      <w:r w:rsidR="000F3552">
        <w:t xml:space="preserve"> </w:t>
      </w:r>
      <w:r w:rsidR="00630838">
        <w:t xml:space="preserve">The CA rejected </w:t>
      </w:r>
      <w:r w:rsidR="00A070DD">
        <w:t>the other interpretations of Art</w:t>
      </w:r>
      <w:r w:rsidR="00292ED0">
        <w:t>icle</w:t>
      </w:r>
      <w:r w:rsidR="00A070DD">
        <w:t xml:space="preserve"> 49(1</w:t>
      </w:r>
      <w:r w:rsidR="005677AE">
        <w:t>)</w:t>
      </w:r>
      <w:r w:rsidR="003518A8">
        <w:t xml:space="preserve">, which were: </w:t>
      </w:r>
      <w:r w:rsidR="00A070DD" w:rsidRPr="009B5B18">
        <w:rPr>
          <w:rFonts w:cs="Times New Roman"/>
          <w:szCs w:val="24"/>
        </w:rPr>
        <w:t xml:space="preserve">the vacancy, </w:t>
      </w:r>
      <w:r w:rsidR="00A070DD" w:rsidRPr="009B5B18">
        <w:rPr>
          <w:rFonts w:cs="Times New Roman"/>
          <w:i/>
          <w:iCs/>
          <w:szCs w:val="24"/>
        </w:rPr>
        <w:t>as and when it arises</w:t>
      </w:r>
      <w:r w:rsidR="00A070DD" w:rsidRPr="009B5B18">
        <w:rPr>
          <w:rFonts w:cs="Times New Roman"/>
          <w:szCs w:val="24"/>
        </w:rPr>
        <w:t>, shall be filled by a by-election for all the seats in the GRC</w:t>
      </w:r>
      <w:r w:rsidR="009B4084">
        <w:rPr>
          <w:rFonts w:cs="Times New Roman"/>
          <w:szCs w:val="24"/>
        </w:rPr>
        <w:t xml:space="preserve"> (</w:t>
      </w:r>
      <w:r w:rsidR="009B4084" w:rsidRPr="002C6A10">
        <w:rPr>
          <w:rFonts w:cs="Times New Roman"/>
          <w:b/>
          <w:bCs/>
          <w:szCs w:val="24"/>
        </w:rPr>
        <w:t xml:space="preserve">Interpretation </w:t>
      </w:r>
      <w:r w:rsidR="00F30002">
        <w:rPr>
          <w:rFonts w:cs="Times New Roman"/>
          <w:b/>
          <w:bCs/>
          <w:szCs w:val="24"/>
        </w:rPr>
        <w:t>1</w:t>
      </w:r>
      <w:r w:rsidR="00CD1147">
        <w:rPr>
          <w:rFonts w:cs="Times New Roman"/>
          <w:szCs w:val="24"/>
        </w:rPr>
        <w:t xml:space="preserve">, suggested by </w:t>
      </w:r>
      <w:r w:rsidR="006C34CA">
        <w:rPr>
          <w:rFonts w:cs="Times New Roman"/>
          <w:szCs w:val="24"/>
        </w:rPr>
        <w:t>Dr Wong</w:t>
      </w:r>
      <w:r w:rsidR="009B4084">
        <w:rPr>
          <w:rFonts w:cs="Times New Roman"/>
          <w:szCs w:val="24"/>
        </w:rPr>
        <w:t>)</w:t>
      </w:r>
      <w:r w:rsidR="00A070DD" w:rsidRPr="009B5B18">
        <w:rPr>
          <w:rFonts w:cs="Times New Roman"/>
          <w:szCs w:val="24"/>
        </w:rPr>
        <w:t>;</w:t>
      </w:r>
      <w:r w:rsidR="009B5B18">
        <w:rPr>
          <w:rFonts w:cs="Times New Roman"/>
          <w:szCs w:val="24"/>
        </w:rPr>
        <w:t xml:space="preserve"> </w:t>
      </w:r>
      <w:r w:rsidR="00815976">
        <w:rPr>
          <w:rFonts w:cs="Times New Roman"/>
          <w:szCs w:val="24"/>
        </w:rPr>
        <w:t>an</w:t>
      </w:r>
      <w:r w:rsidR="00173B27">
        <w:rPr>
          <w:rFonts w:cs="Times New Roman"/>
          <w:szCs w:val="24"/>
        </w:rPr>
        <w:t>d</w:t>
      </w:r>
      <w:r w:rsidR="009B5B18">
        <w:t xml:space="preserve"> </w:t>
      </w:r>
      <w:r w:rsidR="00A070DD" w:rsidRPr="009B5B18">
        <w:rPr>
          <w:rFonts w:cs="Times New Roman"/>
          <w:szCs w:val="24"/>
        </w:rPr>
        <w:t xml:space="preserve">the vacancy shall </w:t>
      </w:r>
      <w:r w:rsidR="00A070DD" w:rsidRPr="009B5B18">
        <w:rPr>
          <w:rFonts w:cs="Times New Roman"/>
          <w:i/>
          <w:iCs/>
          <w:szCs w:val="24"/>
        </w:rPr>
        <w:t>only</w:t>
      </w:r>
      <w:r w:rsidR="00A070DD" w:rsidRPr="009B5B18">
        <w:rPr>
          <w:rFonts w:cs="Times New Roman"/>
          <w:szCs w:val="24"/>
        </w:rPr>
        <w:t xml:space="preserve"> be filled by a by-election </w:t>
      </w:r>
      <w:r w:rsidR="00A070DD" w:rsidRPr="00193696">
        <w:rPr>
          <w:i/>
        </w:rPr>
        <w:t>if and when</w:t>
      </w:r>
      <w:r w:rsidR="00A070DD" w:rsidRPr="009B5B18">
        <w:rPr>
          <w:rFonts w:cs="Times New Roman"/>
          <w:szCs w:val="24"/>
        </w:rPr>
        <w:t xml:space="preserve"> </w:t>
      </w:r>
      <w:r w:rsidR="00A070DD" w:rsidRPr="00217DD6">
        <w:rPr>
          <w:rFonts w:cs="Times New Roman"/>
          <w:i/>
          <w:iCs/>
          <w:szCs w:val="24"/>
        </w:rPr>
        <w:t>all</w:t>
      </w:r>
      <w:r w:rsidR="00A070DD" w:rsidRPr="009B5B18">
        <w:rPr>
          <w:rFonts w:cs="Times New Roman"/>
          <w:szCs w:val="24"/>
        </w:rPr>
        <w:t xml:space="preserve"> the seats in the GRC have been vacated</w:t>
      </w:r>
      <w:r w:rsidR="009B4084">
        <w:rPr>
          <w:rFonts w:cs="Times New Roman"/>
          <w:szCs w:val="24"/>
        </w:rPr>
        <w:t xml:space="preserve"> (</w:t>
      </w:r>
      <w:r w:rsidR="009B4084">
        <w:rPr>
          <w:rFonts w:cs="Times New Roman"/>
          <w:b/>
          <w:bCs/>
          <w:szCs w:val="24"/>
        </w:rPr>
        <w:t xml:space="preserve">Interpretation </w:t>
      </w:r>
      <w:r w:rsidR="00F30002">
        <w:rPr>
          <w:rFonts w:cs="Times New Roman"/>
          <w:b/>
          <w:bCs/>
          <w:szCs w:val="24"/>
        </w:rPr>
        <w:t>2</w:t>
      </w:r>
      <w:r w:rsidR="006C34CA">
        <w:rPr>
          <w:rFonts w:cs="Times New Roman"/>
          <w:szCs w:val="24"/>
        </w:rPr>
        <w:t>, also</w:t>
      </w:r>
      <w:r w:rsidR="00832099">
        <w:rPr>
          <w:rFonts w:cs="Times New Roman"/>
          <w:szCs w:val="24"/>
        </w:rPr>
        <w:t xml:space="preserve"> </w:t>
      </w:r>
      <w:r w:rsidR="006C34CA">
        <w:rPr>
          <w:rFonts w:cs="Times New Roman"/>
          <w:szCs w:val="24"/>
        </w:rPr>
        <w:t>suggested by the AG</w:t>
      </w:r>
      <w:r w:rsidR="009B4084">
        <w:rPr>
          <w:rFonts w:cs="Times New Roman"/>
          <w:szCs w:val="24"/>
        </w:rPr>
        <w:t>)</w:t>
      </w:r>
      <w:r w:rsidR="009B5B18">
        <w:rPr>
          <w:rFonts w:cs="Times New Roman"/>
          <w:szCs w:val="24"/>
        </w:rPr>
        <w:t xml:space="preserve">. </w:t>
      </w:r>
    </w:p>
    <w:p w14:paraId="591CCCCE" w14:textId="77777777" w:rsidR="00EF391E" w:rsidRDefault="00EF391E" w:rsidP="00E97E36">
      <w:pPr>
        <w:widowControl w:val="0"/>
        <w:spacing w:after="0" w:line="240" w:lineRule="auto"/>
        <w:jc w:val="both"/>
        <w:rPr>
          <w:rFonts w:cs="Times New Roman"/>
          <w:szCs w:val="24"/>
        </w:rPr>
      </w:pPr>
    </w:p>
    <w:p w14:paraId="2BB653EB" w14:textId="79043726" w:rsidR="00160DC2" w:rsidRPr="00196B61" w:rsidRDefault="00476985" w:rsidP="00E97E36">
      <w:pPr>
        <w:widowControl w:val="0"/>
        <w:spacing w:after="0" w:line="240" w:lineRule="auto"/>
        <w:jc w:val="both"/>
      </w:pPr>
      <w:r>
        <w:rPr>
          <w:rFonts w:cs="Times New Roman"/>
          <w:szCs w:val="24"/>
        </w:rPr>
        <w:t>The CA first noted that w</w:t>
      </w:r>
      <w:r w:rsidR="001E5941">
        <w:rPr>
          <w:rFonts w:cs="Times New Roman"/>
          <w:szCs w:val="24"/>
        </w:rPr>
        <w:t>hen choosing</w:t>
      </w:r>
      <w:r w:rsidR="00E11B61" w:rsidRPr="00E11B61">
        <w:rPr>
          <w:rFonts w:cs="Times New Roman"/>
          <w:szCs w:val="24"/>
        </w:rPr>
        <w:t xml:space="preserve"> among competing interpretations of </w:t>
      </w:r>
      <w:r w:rsidR="001E5941">
        <w:rPr>
          <w:rFonts w:cs="Times New Roman"/>
          <w:szCs w:val="24"/>
        </w:rPr>
        <w:t>a legislative provision, the court</w:t>
      </w:r>
      <w:r w:rsidR="00E11B61" w:rsidRPr="00E11B61">
        <w:rPr>
          <w:rFonts w:cs="Times New Roman"/>
          <w:szCs w:val="24"/>
        </w:rPr>
        <w:t xml:space="preserve"> should </w:t>
      </w:r>
      <w:r w:rsidR="000C5EF5">
        <w:rPr>
          <w:rFonts w:cs="Times New Roman"/>
          <w:szCs w:val="24"/>
        </w:rPr>
        <w:t xml:space="preserve">also </w:t>
      </w:r>
      <w:r w:rsidR="007D127C">
        <w:rPr>
          <w:rFonts w:cs="Times New Roman"/>
          <w:szCs w:val="24"/>
        </w:rPr>
        <w:t>use</w:t>
      </w:r>
      <w:r w:rsidR="008A0E61">
        <w:rPr>
          <w:rFonts w:cs="Times New Roman"/>
          <w:szCs w:val="24"/>
        </w:rPr>
        <w:t xml:space="preserve"> the purposive approach, i.e. </w:t>
      </w:r>
      <w:r w:rsidR="00E161CE">
        <w:rPr>
          <w:rFonts w:cs="Times New Roman"/>
          <w:szCs w:val="24"/>
        </w:rPr>
        <w:t>use</w:t>
      </w:r>
      <w:r w:rsidR="00E11B61" w:rsidRPr="00E11B61">
        <w:rPr>
          <w:rFonts w:cs="Times New Roman"/>
          <w:szCs w:val="24"/>
        </w:rPr>
        <w:t xml:space="preserve"> that interpretation which </w:t>
      </w:r>
      <w:r w:rsidR="00574BBB" w:rsidRPr="00E11B61">
        <w:rPr>
          <w:rFonts w:cs="Times New Roman"/>
          <w:szCs w:val="24"/>
        </w:rPr>
        <w:t>further</w:t>
      </w:r>
      <w:r w:rsidR="008677F3">
        <w:rPr>
          <w:rFonts w:cs="Times New Roman"/>
          <w:szCs w:val="24"/>
        </w:rPr>
        <w:t>e</w:t>
      </w:r>
      <w:r w:rsidR="00574BBB">
        <w:rPr>
          <w:rFonts w:cs="Times New Roman"/>
          <w:szCs w:val="24"/>
        </w:rPr>
        <w:t>d</w:t>
      </w:r>
      <w:r w:rsidR="00574BBB" w:rsidRPr="00E11B61">
        <w:rPr>
          <w:rFonts w:cs="Times New Roman"/>
          <w:szCs w:val="24"/>
        </w:rPr>
        <w:t xml:space="preserve"> </w:t>
      </w:r>
      <w:r w:rsidR="00E11B61" w:rsidRPr="00E11B61">
        <w:rPr>
          <w:rFonts w:cs="Times New Roman"/>
          <w:szCs w:val="24"/>
        </w:rPr>
        <w:t xml:space="preserve">the purpose of the </w:t>
      </w:r>
      <w:r w:rsidR="002A0349">
        <w:rPr>
          <w:rFonts w:cs="Times New Roman"/>
          <w:szCs w:val="24"/>
        </w:rPr>
        <w:t>provision</w:t>
      </w:r>
      <w:r w:rsidR="003E7A44">
        <w:rPr>
          <w:rFonts w:cs="Times New Roman"/>
          <w:szCs w:val="24"/>
        </w:rPr>
        <w:t>.</w:t>
      </w:r>
      <w:r w:rsidR="00E11B61" w:rsidRPr="00E11B61">
        <w:rPr>
          <w:rFonts w:cs="Times New Roman"/>
          <w:szCs w:val="24"/>
        </w:rPr>
        <w:t xml:space="preserve"> </w:t>
      </w:r>
      <w:r w:rsidR="00CD1147">
        <w:rPr>
          <w:rFonts w:cs="Times New Roman"/>
          <w:szCs w:val="24"/>
        </w:rPr>
        <w:t>Interpretation</w:t>
      </w:r>
      <w:r w:rsidR="00832099">
        <w:rPr>
          <w:rFonts w:cs="Times New Roman"/>
          <w:szCs w:val="24"/>
        </w:rPr>
        <w:t xml:space="preserve"> </w:t>
      </w:r>
      <w:r w:rsidR="00C50BB0">
        <w:rPr>
          <w:rFonts w:cs="Times New Roman"/>
          <w:szCs w:val="24"/>
        </w:rPr>
        <w:t>1</w:t>
      </w:r>
      <w:r w:rsidR="002C364C">
        <w:t xml:space="preserve"> </w:t>
      </w:r>
      <w:r w:rsidR="00630838" w:rsidRPr="00C9037B">
        <w:t>involve</w:t>
      </w:r>
      <w:r w:rsidR="0066782F">
        <w:t>d</w:t>
      </w:r>
      <w:r w:rsidR="00630838" w:rsidRPr="00C9037B">
        <w:t xml:space="preserve"> compelling all the remaining Members of a GRC to vacate their seats in the event of a vacancy in a single seat in the GRC, thereby forcing a by-election to be held. </w:t>
      </w:r>
      <w:r w:rsidR="00EC090D">
        <w:rPr>
          <w:iCs/>
        </w:rPr>
        <w:t xml:space="preserve">However, </w:t>
      </w:r>
      <w:r w:rsidR="005D2216">
        <w:t xml:space="preserve">this would </w:t>
      </w:r>
      <w:r w:rsidR="005D2216" w:rsidRPr="005D2216">
        <w:t>lead to the one result that Parliament had expressly intended to avoid when it implemented the GRC scheme</w:t>
      </w:r>
      <w:r w:rsidR="009D09D7">
        <w:t>.</w:t>
      </w:r>
      <w:r w:rsidR="00CE2704">
        <w:t xml:space="preserve"> </w:t>
      </w:r>
    </w:p>
    <w:p w14:paraId="1646A071" w14:textId="77777777" w:rsidR="00E80E3D" w:rsidRDefault="00E80E3D" w:rsidP="00E97E36">
      <w:pPr>
        <w:widowControl w:val="0"/>
        <w:spacing w:after="0" w:line="240" w:lineRule="auto"/>
        <w:jc w:val="both"/>
        <w:rPr>
          <w:rFonts w:cs="Times New Roman"/>
          <w:szCs w:val="24"/>
          <w:lang w:val="en-US"/>
        </w:rPr>
      </w:pPr>
    </w:p>
    <w:p w14:paraId="72EE5415" w14:textId="08D34D92" w:rsidR="001B1650" w:rsidRDefault="001C0684" w:rsidP="00E97E36">
      <w:pPr>
        <w:widowControl w:val="0"/>
        <w:spacing w:after="0" w:line="240" w:lineRule="auto"/>
        <w:jc w:val="both"/>
        <w:rPr>
          <w:rFonts w:cs="Times New Roman"/>
          <w:szCs w:val="24"/>
          <w:lang w:val="en-US"/>
        </w:rPr>
      </w:pPr>
      <w:r>
        <w:rPr>
          <w:rFonts w:cs="Times New Roman"/>
          <w:szCs w:val="24"/>
          <w:lang w:val="en-US"/>
        </w:rPr>
        <w:t xml:space="preserve">As to Interpretation </w:t>
      </w:r>
      <w:r w:rsidR="00C50BB0">
        <w:rPr>
          <w:rFonts w:cs="Times New Roman"/>
          <w:szCs w:val="24"/>
          <w:lang w:val="en-US"/>
        </w:rPr>
        <w:t>2</w:t>
      </w:r>
      <w:r>
        <w:rPr>
          <w:rFonts w:cs="Times New Roman"/>
          <w:szCs w:val="24"/>
          <w:lang w:val="en-US"/>
        </w:rPr>
        <w:t>, w</w:t>
      </w:r>
      <w:r w:rsidR="00F11C13">
        <w:rPr>
          <w:rFonts w:cs="Times New Roman"/>
          <w:szCs w:val="24"/>
          <w:lang w:val="en-US"/>
        </w:rPr>
        <w:t>hile this was admittedly</w:t>
      </w:r>
      <w:r w:rsidR="001F66B2">
        <w:rPr>
          <w:rFonts w:cs="Times New Roman"/>
          <w:szCs w:val="24"/>
          <w:lang w:val="en-US"/>
        </w:rPr>
        <w:t xml:space="preserve"> the interpretation which was the</w:t>
      </w:r>
      <w:r w:rsidR="00F11C13">
        <w:rPr>
          <w:rFonts w:cs="Times New Roman"/>
          <w:szCs w:val="24"/>
          <w:lang w:val="en-US"/>
        </w:rPr>
        <w:t xml:space="preserve"> </w:t>
      </w:r>
      <w:r w:rsidR="00F11C13" w:rsidRPr="00F11C13">
        <w:rPr>
          <w:rFonts w:cs="Times New Roman"/>
          <w:szCs w:val="24"/>
          <w:lang w:val="en-US"/>
        </w:rPr>
        <w:t>most closely aligned with Parliament’s</w:t>
      </w:r>
      <w:r w:rsidR="003452E0">
        <w:rPr>
          <w:rFonts w:cs="Times New Roman"/>
          <w:szCs w:val="24"/>
          <w:lang w:val="en-US"/>
        </w:rPr>
        <w:t xml:space="preserve"> </w:t>
      </w:r>
      <w:r w:rsidR="00F11C13">
        <w:rPr>
          <w:rFonts w:cs="Times New Roman"/>
          <w:szCs w:val="24"/>
          <w:lang w:val="en-US"/>
        </w:rPr>
        <w:t xml:space="preserve">intention </w:t>
      </w:r>
      <w:r w:rsidR="00F11C13" w:rsidRPr="00F11C13">
        <w:rPr>
          <w:rFonts w:cs="Times New Roman"/>
          <w:szCs w:val="24"/>
          <w:lang w:val="en-US"/>
        </w:rPr>
        <w:t xml:space="preserve">as to what should occur where there </w:t>
      </w:r>
      <w:r w:rsidR="00F11C13">
        <w:rPr>
          <w:rFonts w:cs="Times New Roman"/>
          <w:szCs w:val="24"/>
          <w:lang w:val="en-US"/>
        </w:rPr>
        <w:t>wa</w:t>
      </w:r>
      <w:r w:rsidR="00F11C13" w:rsidRPr="00F11C13">
        <w:rPr>
          <w:rFonts w:cs="Times New Roman"/>
          <w:szCs w:val="24"/>
          <w:lang w:val="en-US"/>
        </w:rPr>
        <w:t xml:space="preserve">s a </w:t>
      </w:r>
      <w:r w:rsidR="0014608C">
        <w:rPr>
          <w:rFonts w:cs="Times New Roman"/>
          <w:szCs w:val="24"/>
          <w:lang w:val="en-US"/>
        </w:rPr>
        <w:t xml:space="preserve">single vacant seat </w:t>
      </w:r>
      <w:r w:rsidR="00F11C13" w:rsidRPr="00F11C13">
        <w:rPr>
          <w:rFonts w:cs="Times New Roman"/>
          <w:szCs w:val="24"/>
          <w:lang w:val="en-US"/>
        </w:rPr>
        <w:t>in a GRC</w:t>
      </w:r>
      <w:r w:rsidR="00F11C13">
        <w:rPr>
          <w:rFonts w:cs="Times New Roman"/>
          <w:szCs w:val="24"/>
          <w:lang w:val="en-US"/>
        </w:rPr>
        <w:t xml:space="preserve">, this was a </w:t>
      </w:r>
      <w:r w:rsidR="00F11C13" w:rsidRPr="00F11C13">
        <w:rPr>
          <w:rFonts w:cs="Times New Roman"/>
          <w:szCs w:val="24"/>
          <w:lang w:val="en-US"/>
        </w:rPr>
        <w:t>“strained” interpretation of Art</w:t>
      </w:r>
      <w:r w:rsidR="00F11C13">
        <w:rPr>
          <w:rFonts w:cs="Times New Roman"/>
          <w:szCs w:val="24"/>
          <w:lang w:val="en-US"/>
        </w:rPr>
        <w:t>icle</w:t>
      </w:r>
      <w:r w:rsidR="00F11C13" w:rsidRPr="00F11C13">
        <w:rPr>
          <w:rFonts w:cs="Times New Roman"/>
          <w:szCs w:val="24"/>
          <w:lang w:val="en-US"/>
        </w:rPr>
        <w:t xml:space="preserve"> 49(1)</w:t>
      </w:r>
      <w:r w:rsidR="00F11C13">
        <w:rPr>
          <w:rFonts w:cs="Times New Roman"/>
          <w:szCs w:val="24"/>
          <w:lang w:val="en-US"/>
        </w:rPr>
        <w:t xml:space="preserve">. </w:t>
      </w:r>
      <w:r w:rsidR="001B1650" w:rsidRPr="001B1650">
        <w:rPr>
          <w:rFonts w:cs="Times New Roman"/>
          <w:szCs w:val="24"/>
          <w:lang w:val="en-US"/>
        </w:rPr>
        <w:t xml:space="preserve">The words “seat of a Member” </w:t>
      </w:r>
      <w:r w:rsidR="001B1650">
        <w:rPr>
          <w:rFonts w:cs="Times New Roman"/>
          <w:szCs w:val="24"/>
          <w:lang w:val="en-US"/>
        </w:rPr>
        <w:t>did</w:t>
      </w:r>
      <w:r w:rsidR="001B1650" w:rsidRPr="001B1650">
        <w:rPr>
          <w:rFonts w:cs="Times New Roman"/>
          <w:szCs w:val="24"/>
          <w:lang w:val="en-US"/>
        </w:rPr>
        <w:t xml:space="preserve"> not distinguish between the seat of a GRC Member and that of an SMC Member, and hence </w:t>
      </w:r>
      <w:r w:rsidR="002B0612">
        <w:rPr>
          <w:rFonts w:cs="Times New Roman"/>
          <w:szCs w:val="24"/>
          <w:lang w:val="en-US"/>
        </w:rPr>
        <w:t>could not</w:t>
      </w:r>
      <w:r w:rsidR="001B1650" w:rsidRPr="001B1650">
        <w:rPr>
          <w:rFonts w:cs="Times New Roman"/>
          <w:szCs w:val="24"/>
          <w:lang w:val="en-US"/>
        </w:rPr>
        <w:t xml:space="preserve"> be interpreted to cover both types of seats </w:t>
      </w:r>
      <w:r w:rsidR="001B1650" w:rsidRPr="00110F06">
        <w:rPr>
          <w:rFonts w:cs="Times New Roman"/>
          <w:i/>
          <w:iCs/>
          <w:szCs w:val="24"/>
          <w:lang w:val="en-US"/>
        </w:rPr>
        <w:t>while at the same time</w:t>
      </w:r>
      <w:r w:rsidR="001B1650" w:rsidRPr="001B1650">
        <w:rPr>
          <w:rFonts w:cs="Times New Roman"/>
          <w:szCs w:val="24"/>
          <w:lang w:val="en-US"/>
        </w:rPr>
        <w:t xml:space="preserve"> mandating different outcomes in the event of a vacancy in the two different types of seats. In order to </w:t>
      </w:r>
      <w:r w:rsidR="001B1650" w:rsidRPr="001B1650">
        <w:rPr>
          <w:rFonts w:cs="Times New Roman"/>
          <w:szCs w:val="24"/>
          <w:lang w:val="en-US"/>
        </w:rPr>
        <w:lastRenderedPageBreak/>
        <w:t>arrive at such a meaning, the first portion of Art</w:t>
      </w:r>
      <w:r w:rsidR="00B90644">
        <w:rPr>
          <w:rFonts w:cs="Times New Roman"/>
          <w:szCs w:val="24"/>
          <w:lang w:val="en-US"/>
        </w:rPr>
        <w:t>icle</w:t>
      </w:r>
      <w:r w:rsidR="001B1650" w:rsidRPr="001B1650">
        <w:rPr>
          <w:rFonts w:cs="Times New Roman"/>
          <w:szCs w:val="24"/>
          <w:lang w:val="en-US"/>
        </w:rPr>
        <w:t xml:space="preserve"> 49(1) would have to be construed as if it read: “Whenever the seat of a Member in a single member constituency, or the seats of all Members in a group representation constituency ...”.</w:t>
      </w:r>
    </w:p>
    <w:p w14:paraId="31BD8CC9" w14:textId="77777777" w:rsidR="001B1650" w:rsidRDefault="001B1650" w:rsidP="00E97E36">
      <w:pPr>
        <w:widowControl w:val="0"/>
        <w:spacing w:after="0" w:line="240" w:lineRule="auto"/>
        <w:jc w:val="both"/>
        <w:rPr>
          <w:rFonts w:cs="Times New Roman"/>
          <w:szCs w:val="24"/>
          <w:lang w:val="en-US"/>
        </w:rPr>
      </w:pPr>
    </w:p>
    <w:p w14:paraId="4C401446" w14:textId="02C9040B" w:rsidR="0082454F" w:rsidRPr="00D0584E" w:rsidRDefault="005433A4" w:rsidP="00E97E36">
      <w:pPr>
        <w:widowControl w:val="0"/>
        <w:spacing w:after="0" w:line="240" w:lineRule="auto"/>
        <w:jc w:val="both"/>
      </w:pPr>
      <w:r>
        <w:rPr>
          <w:lang w:val="en-US"/>
        </w:rPr>
        <w:t xml:space="preserve">While such an </w:t>
      </w:r>
      <w:r w:rsidR="00EC090D">
        <w:rPr>
          <w:rFonts w:cs="Times New Roman"/>
          <w:szCs w:val="24"/>
          <w:lang w:val="en-US"/>
        </w:rPr>
        <w:t xml:space="preserve">interpretation </w:t>
      </w:r>
      <w:r>
        <w:rPr>
          <w:rFonts w:cs="Times New Roman"/>
          <w:szCs w:val="24"/>
          <w:lang w:val="en-US"/>
        </w:rPr>
        <w:t xml:space="preserve">could theoretically </w:t>
      </w:r>
      <w:r w:rsidR="00EC090D">
        <w:rPr>
          <w:rFonts w:cs="Times New Roman"/>
          <w:szCs w:val="24"/>
          <w:lang w:val="en-US"/>
        </w:rPr>
        <w:t>be achieved through</w:t>
      </w:r>
      <w:r w:rsidR="00EC090D" w:rsidRPr="001A6F1D">
        <w:rPr>
          <w:lang w:val="en-US"/>
        </w:rPr>
        <w:t xml:space="preserve"> </w:t>
      </w:r>
      <w:r w:rsidR="00D0584E" w:rsidRPr="001A6F1D">
        <w:rPr>
          <w:lang w:val="en-US"/>
        </w:rPr>
        <w:t>a</w:t>
      </w:r>
      <w:r w:rsidR="00842973" w:rsidRPr="00842973">
        <w:rPr>
          <w:lang w:val="en-US"/>
        </w:rPr>
        <w:t xml:space="preserve"> </w:t>
      </w:r>
      <w:r w:rsidR="00842973" w:rsidRPr="001A6F1D">
        <w:rPr>
          <w:lang w:val="en-US"/>
        </w:rPr>
        <w:t>rectifying construction</w:t>
      </w:r>
      <w:r w:rsidR="00842973">
        <w:rPr>
          <w:rStyle w:val="FootnoteReference"/>
          <w:rFonts w:cs="Times New Roman"/>
          <w:szCs w:val="24"/>
          <w:lang w:val="en-US"/>
        </w:rPr>
        <w:footnoteReference w:id="4"/>
      </w:r>
      <w:r w:rsidR="00842973">
        <w:rPr>
          <w:lang w:val="en-US"/>
        </w:rPr>
        <w:t xml:space="preserve"> or an</w:t>
      </w:r>
      <w:r w:rsidR="00D0584E" w:rsidRPr="001A6F1D">
        <w:rPr>
          <w:lang w:val="en-US"/>
        </w:rPr>
        <w:t xml:space="preserve"> updating</w:t>
      </w:r>
      <w:r w:rsidR="00C35CC5" w:rsidRPr="001A6F1D">
        <w:rPr>
          <w:lang w:val="en-US"/>
        </w:rPr>
        <w:t xml:space="preserve"> </w:t>
      </w:r>
      <w:r w:rsidR="00C35CC5">
        <w:rPr>
          <w:rFonts w:cs="Times New Roman"/>
          <w:szCs w:val="24"/>
          <w:lang w:val="en-US"/>
        </w:rPr>
        <w:t>construction</w:t>
      </w:r>
      <w:r w:rsidR="005538CB">
        <w:rPr>
          <w:rFonts w:cs="Times New Roman"/>
          <w:szCs w:val="24"/>
          <w:lang w:val="en-US"/>
        </w:rPr>
        <w:t>,</w:t>
      </w:r>
      <w:r w:rsidR="00C35CC5">
        <w:rPr>
          <w:rStyle w:val="FootnoteReference"/>
          <w:rFonts w:cs="Times New Roman"/>
          <w:szCs w:val="24"/>
          <w:lang w:val="en-US"/>
        </w:rPr>
        <w:footnoteReference w:id="5"/>
      </w:r>
      <w:r w:rsidR="00D0584E">
        <w:rPr>
          <w:rFonts w:cs="Times New Roman"/>
          <w:szCs w:val="24"/>
          <w:lang w:val="en-US"/>
        </w:rPr>
        <w:t xml:space="preserve"> </w:t>
      </w:r>
      <w:r w:rsidR="00106910">
        <w:rPr>
          <w:rFonts w:cs="Times New Roman"/>
          <w:szCs w:val="24"/>
          <w:lang w:val="en-US"/>
        </w:rPr>
        <w:t xml:space="preserve">both </w:t>
      </w:r>
      <w:r w:rsidR="005538CB">
        <w:rPr>
          <w:rFonts w:cs="Times New Roman"/>
          <w:szCs w:val="24"/>
          <w:lang w:val="en-US"/>
        </w:rPr>
        <w:t xml:space="preserve">constructions </w:t>
      </w:r>
      <w:r w:rsidR="00106910">
        <w:rPr>
          <w:rFonts w:cs="Times New Roman"/>
          <w:szCs w:val="24"/>
          <w:lang w:val="en-US"/>
        </w:rPr>
        <w:t xml:space="preserve">were </w:t>
      </w:r>
      <w:r w:rsidR="00D0584E">
        <w:rPr>
          <w:rFonts w:cs="Times New Roman"/>
          <w:szCs w:val="24"/>
          <w:lang w:val="en-US"/>
        </w:rPr>
        <w:t>not appropriate.</w:t>
      </w:r>
      <w:r w:rsidR="00D0584E" w:rsidRPr="00D0584E">
        <w:rPr>
          <w:rFonts w:cs="Times New Roman"/>
          <w:szCs w:val="24"/>
          <w:lang w:val="en-US"/>
        </w:rPr>
        <w:t xml:space="preserve"> </w:t>
      </w:r>
      <w:r w:rsidR="0082454F">
        <w:t>With regard to a rect</w:t>
      </w:r>
      <w:r w:rsidR="000B675E">
        <w:t>i</w:t>
      </w:r>
      <w:r w:rsidR="0082454F">
        <w:t>f</w:t>
      </w:r>
      <w:r w:rsidR="000B675E">
        <w:t>y</w:t>
      </w:r>
      <w:r w:rsidR="0082454F">
        <w:t xml:space="preserve">ing construction, while it was clear </w:t>
      </w:r>
      <w:r w:rsidR="00496376">
        <w:t>what</w:t>
      </w:r>
      <w:r w:rsidR="0082454F" w:rsidRPr="00765C85">
        <w:t xml:space="preserve"> result Parliament intended to achieve (</w:t>
      </w:r>
      <w:r w:rsidR="0082454F">
        <w:t>i.e.</w:t>
      </w:r>
      <w:r w:rsidR="0082454F" w:rsidRPr="00765C85">
        <w:t xml:space="preserve"> that a vacancy in the seat of a GRC Member would not </w:t>
      </w:r>
      <w:r w:rsidR="0082454F">
        <w:t xml:space="preserve">oblige the Government </w:t>
      </w:r>
      <w:r w:rsidR="0082454F" w:rsidRPr="00765C85">
        <w:t>to call a by-election)</w:t>
      </w:r>
      <w:r w:rsidR="0082454F">
        <w:t>, it was also not</w:t>
      </w:r>
      <w:r w:rsidR="00CB1BA1">
        <w:t xml:space="preserve"> (</w:t>
      </w:r>
      <w:r w:rsidR="0082454F">
        <w:t>as discussed above</w:t>
      </w:r>
      <w:r w:rsidR="00CB1BA1">
        <w:t>)</w:t>
      </w:r>
      <w:r w:rsidR="0082454F">
        <w:t xml:space="preserve"> clear </w:t>
      </w:r>
      <w:r w:rsidR="0082454F">
        <w:rPr>
          <w:i/>
          <w:iCs/>
        </w:rPr>
        <w:t>how</w:t>
      </w:r>
      <w:r w:rsidR="0082454F">
        <w:t xml:space="preserve"> Parliament thought it would effect this result. It was</w:t>
      </w:r>
      <w:r w:rsidR="0082454F" w:rsidRPr="007844A9">
        <w:t xml:space="preserve"> </w:t>
      </w:r>
      <w:r w:rsidR="0082454F">
        <w:t xml:space="preserve">thus </w:t>
      </w:r>
      <w:r w:rsidR="0082454F" w:rsidRPr="007844A9">
        <w:t xml:space="preserve">impossible to </w:t>
      </w:r>
      <w:r w:rsidR="0082454F">
        <w:t>be certain</w:t>
      </w:r>
      <w:r w:rsidR="0082454F" w:rsidRPr="007844A9">
        <w:t xml:space="preserve"> </w:t>
      </w:r>
      <w:r w:rsidR="0082454F">
        <w:t>which</w:t>
      </w:r>
      <w:r w:rsidR="0082454F" w:rsidRPr="007844A9">
        <w:t xml:space="preserve"> words which would have</w:t>
      </w:r>
      <w:r w:rsidR="0082454F">
        <w:t xml:space="preserve"> been</w:t>
      </w:r>
      <w:r w:rsidR="0082454F" w:rsidRPr="007844A9">
        <w:t xml:space="preserve"> inserted and whether Parliament would have approved of the insertion</w:t>
      </w:r>
      <w:r w:rsidR="0082454F">
        <w:t>,</w:t>
      </w:r>
      <w:r w:rsidR="0082454F" w:rsidRPr="007844A9">
        <w:t xml:space="preserve"> since it </w:t>
      </w:r>
      <w:r w:rsidR="0082454F">
        <w:t>was</w:t>
      </w:r>
      <w:r w:rsidR="0082454F" w:rsidRPr="007844A9">
        <w:t xml:space="preserve"> unclear whether Parliament wanted to amend the language of the Constitution at all.</w:t>
      </w:r>
    </w:p>
    <w:p w14:paraId="1F309695" w14:textId="77777777" w:rsidR="004A63F1" w:rsidRDefault="004A63F1" w:rsidP="00E97E36">
      <w:pPr>
        <w:widowControl w:val="0"/>
        <w:spacing w:after="0" w:line="240" w:lineRule="auto"/>
        <w:jc w:val="both"/>
      </w:pPr>
    </w:p>
    <w:p w14:paraId="580A9873" w14:textId="2A029AC7" w:rsidR="00666BAF" w:rsidRDefault="00AC355C" w:rsidP="00E97E36">
      <w:pPr>
        <w:widowControl w:val="0"/>
        <w:spacing w:after="0" w:line="240" w:lineRule="auto"/>
        <w:jc w:val="both"/>
      </w:pPr>
      <w:r>
        <w:t xml:space="preserve">An </w:t>
      </w:r>
      <w:r w:rsidR="00D0584E" w:rsidRPr="007844A9">
        <w:t>updating construction</w:t>
      </w:r>
      <w:r w:rsidR="00D0584E">
        <w:t xml:space="preserve"> </w:t>
      </w:r>
      <w:r w:rsidR="001A0F7D">
        <w:t xml:space="preserve">also not appropriate, because it </w:t>
      </w:r>
      <w:r w:rsidR="00B37FC3">
        <w:t xml:space="preserve">would </w:t>
      </w:r>
      <w:r w:rsidR="00AB357B">
        <w:t xml:space="preserve">entail </w:t>
      </w:r>
      <w:r w:rsidR="00B37FC3">
        <w:t>a</w:t>
      </w:r>
      <w:r w:rsidR="00B37FC3" w:rsidRPr="00B37FC3">
        <w:t xml:space="preserve"> significant change to the operation of the provision</w:t>
      </w:r>
      <w:r w:rsidR="00AB357B">
        <w:t>. Article 49(1) would be transformed into</w:t>
      </w:r>
      <w:r>
        <w:t xml:space="preserve"> a provision which </w:t>
      </w:r>
      <w:r w:rsidR="00AB357B">
        <w:t xml:space="preserve">differentiated </w:t>
      </w:r>
      <w:r>
        <w:t xml:space="preserve">between GRCs and SMCs </w:t>
      </w:r>
      <w:r w:rsidR="00AB357B">
        <w:t xml:space="preserve">as to </w:t>
      </w:r>
      <w:r>
        <w:t xml:space="preserve">the circumstances </w:t>
      </w:r>
      <w:r w:rsidR="00AB357B">
        <w:t xml:space="preserve">in </w:t>
      </w:r>
      <w:r>
        <w:t xml:space="preserve">which a by-election must be called. </w:t>
      </w:r>
      <w:r w:rsidR="002A2A1F">
        <w:t xml:space="preserve">As </w:t>
      </w:r>
      <w:r w:rsidR="002C1EA1">
        <w:t xml:space="preserve">it </w:t>
      </w:r>
      <w:r w:rsidR="002A2A1F">
        <w:t>was</w:t>
      </w:r>
      <w:r w:rsidR="00912E88" w:rsidRPr="007844A9">
        <w:t xml:space="preserve"> </w:t>
      </w:r>
      <w:r w:rsidR="00D0584E" w:rsidRPr="007844A9">
        <w:t>unclear whether Parliament intended for</w:t>
      </w:r>
      <w:r w:rsidR="00D0584E" w:rsidRPr="001A6F1D">
        <w:t xml:space="preserve"> Art</w:t>
      </w:r>
      <w:r w:rsidR="004B4AF4">
        <w:t>icle</w:t>
      </w:r>
      <w:r w:rsidR="00D0584E" w:rsidRPr="001A6F1D">
        <w:t xml:space="preserve"> 49(1</w:t>
      </w:r>
      <w:r w:rsidR="00D0584E" w:rsidRPr="007844A9">
        <w:t>) to be amended to begin with</w:t>
      </w:r>
      <w:r w:rsidR="002C1EA1">
        <w:t>,</w:t>
      </w:r>
      <w:r>
        <w:t xml:space="preserve"> effecting such a substantive change </w:t>
      </w:r>
      <w:r w:rsidR="00B63E86">
        <w:t xml:space="preserve">through </w:t>
      </w:r>
      <w:r w:rsidR="00912E88">
        <w:t>an updating construction (rather than through a legislative amendment</w:t>
      </w:r>
      <w:r w:rsidR="003E2EA6" w:rsidRPr="003E2EA6">
        <w:t xml:space="preserve"> </w:t>
      </w:r>
      <w:r w:rsidR="003E2EA6">
        <w:t>by Parliament</w:t>
      </w:r>
      <w:r w:rsidR="00912E88">
        <w:t xml:space="preserve">) </w:t>
      </w:r>
      <w:r>
        <w:t xml:space="preserve">could not be justified. </w:t>
      </w:r>
    </w:p>
    <w:p w14:paraId="3A519E76" w14:textId="3F810B36" w:rsidR="008D007D" w:rsidRDefault="008D007D" w:rsidP="00E97E36">
      <w:pPr>
        <w:widowControl w:val="0"/>
        <w:spacing w:after="0" w:line="240" w:lineRule="auto"/>
        <w:jc w:val="both"/>
      </w:pPr>
    </w:p>
    <w:p w14:paraId="1726A483" w14:textId="3221CC68" w:rsidR="001E2E76" w:rsidRDefault="00920B6C" w:rsidP="00E97E36">
      <w:pPr>
        <w:widowControl w:val="0"/>
        <w:spacing w:after="0" w:line="240" w:lineRule="auto"/>
        <w:jc w:val="both"/>
      </w:pPr>
      <w:r>
        <w:t xml:space="preserve">Turning </w:t>
      </w:r>
      <w:r w:rsidR="000E034C">
        <w:t xml:space="preserve">then </w:t>
      </w:r>
      <w:r>
        <w:t xml:space="preserve">to </w:t>
      </w:r>
      <w:r w:rsidR="00B64EEB">
        <w:t xml:space="preserve">Interpretation </w:t>
      </w:r>
      <w:r w:rsidR="00F24500">
        <w:t>3</w:t>
      </w:r>
      <w:r w:rsidR="00B64EEB">
        <w:t>,</w:t>
      </w:r>
      <w:r>
        <w:t xml:space="preserve"> i.e. that the words “seat of a Member” referred only to the seat of an SMC Member, </w:t>
      </w:r>
      <w:r w:rsidR="00B64EEB">
        <w:t>t</w:t>
      </w:r>
      <w:r w:rsidR="00722C43">
        <w:t xml:space="preserve">he CA </w:t>
      </w:r>
      <w:r w:rsidR="00032FB4">
        <w:t xml:space="preserve">first </w:t>
      </w:r>
      <w:r w:rsidR="00B64EEB">
        <w:t xml:space="preserve">noted </w:t>
      </w:r>
      <w:r>
        <w:t xml:space="preserve">that </w:t>
      </w:r>
      <w:r w:rsidR="00B64EEB">
        <w:t xml:space="preserve">this interpretation </w:t>
      </w:r>
      <w:r>
        <w:t>was</w:t>
      </w:r>
      <w:r w:rsidR="00B64EEB">
        <w:t xml:space="preserve"> not ideal, </w:t>
      </w:r>
      <w:r w:rsidR="00AA14FC">
        <w:t>as</w:t>
      </w:r>
      <w:r w:rsidR="00B64EEB" w:rsidRPr="00363CA8">
        <w:t xml:space="preserve"> it </w:t>
      </w:r>
      <w:r w:rsidR="00C56DE7">
        <w:t>left</w:t>
      </w:r>
      <w:r w:rsidR="00C56DE7" w:rsidRPr="00363CA8">
        <w:t xml:space="preserve"> </w:t>
      </w:r>
      <w:r w:rsidR="00B64EEB" w:rsidRPr="00363CA8">
        <w:t>the Constitution silent on the filling of a vacant seat in a GRC</w:t>
      </w:r>
      <w:r w:rsidR="00032FB4">
        <w:t xml:space="preserve">. </w:t>
      </w:r>
      <w:r w:rsidR="00C80906">
        <w:t>Nonetheless</w:t>
      </w:r>
      <w:r w:rsidR="00F67406">
        <w:t>,</w:t>
      </w:r>
      <w:r w:rsidR="00400799">
        <w:t xml:space="preserve"> it stressed that</w:t>
      </w:r>
      <w:r w:rsidR="00032FB4">
        <w:t xml:space="preserve"> </w:t>
      </w:r>
      <w:r w:rsidR="00B64EEB" w:rsidRPr="00363CA8">
        <w:t xml:space="preserve">the </w:t>
      </w:r>
      <w:r w:rsidR="006965F7">
        <w:t xml:space="preserve">court’s </w:t>
      </w:r>
      <w:r w:rsidR="00B64EEB" w:rsidRPr="00363CA8">
        <w:t xml:space="preserve">role </w:t>
      </w:r>
      <w:r w:rsidR="00915319">
        <w:t>was</w:t>
      </w:r>
      <w:r w:rsidR="00B64EEB" w:rsidRPr="00363CA8">
        <w:t xml:space="preserve"> not to fashion the ideal formulation of Art</w:t>
      </w:r>
      <w:r w:rsidR="005A7D1C">
        <w:t>icle</w:t>
      </w:r>
      <w:r w:rsidR="00B64EEB" w:rsidRPr="00363CA8">
        <w:t xml:space="preserve"> 49(1).</w:t>
      </w:r>
      <w:r w:rsidR="00BC736D" w:rsidRPr="00BC736D">
        <w:t xml:space="preserve"> </w:t>
      </w:r>
      <w:r w:rsidR="00BC736D" w:rsidRPr="00AA0902">
        <w:t xml:space="preserve">Instead, </w:t>
      </w:r>
      <w:r w:rsidR="007C1F85">
        <w:t>it</w:t>
      </w:r>
      <w:r w:rsidR="00BC736D">
        <w:t xml:space="preserve"> had to</w:t>
      </w:r>
      <w:r w:rsidR="00BC736D" w:rsidRPr="00AA0902">
        <w:t xml:space="preserve"> work with the text as it </w:t>
      </w:r>
      <w:r w:rsidR="00D85F98">
        <w:t>stood,</w:t>
      </w:r>
      <w:r w:rsidR="00BC736D" w:rsidRPr="00AA0902">
        <w:t xml:space="preserve"> and pick</w:t>
      </w:r>
      <w:r w:rsidR="00D71F26">
        <w:t xml:space="preserve"> (</w:t>
      </w:r>
      <w:r w:rsidR="00BC736D" w:rsidRPr="00AA0902">
        <w:t>from the range of permissible interpretations</w:t>
      </w:r>
      <w:r w:rsidR="00D71F26">
        <w:t>)</w:t>
      </w:r>
      <w:r w:rsidR="00BC736D" w:rsidRPr="00AA0902">
        <w:t xml:space="preserve"> the </w:t>
      </w:r>
      <w:r w:rsidR="00CC22DC">
        <w:t>one</w:t>
      </w:r>
      <w:r w:rsidR="00BC736D" w:rsidRPr="00AA0902">
        <w:t xml:space="preserve"> that best accord</w:t>
      </w:r>
      <w:r w:rsidR="00824B20">
        <w:t>ed</w:t>
      </w:r>
      <w:r w:rsidR="00BC736D" w:rsidRPr="00AA0902">
        <w:t xml:space="preserve"> with Art</w:t>
      </w:r>
      <w:r w:rsidR="000227CD">
        <w:t>icle</w:t>
      </w:r>
      <w:r w:rsidR="00BC736D" w:rsidRPr="00AA0902">
        <w:t xml:space="preserve"> 49(1)</w:t>
      </w:r>
      <w:r w:rsidR="002B5D42">
        <w:t>’s purpose</w:t>
      </w:r>
      <w:r w:rsidR="00BC736D" w:rsidRPr="00AA0902">
        <w:t>.</w:t>
      </w:r>
      <w:r w:rsidR="00E9738D">
        <w:t xml:space="preserve"> </w:t>
      </w:r>
      <w:r w:rsidR="00824B20">
        <w:t>Moreover</w:t>
      </w:r>
      <w:r w:rsidR="00E9738D">
        <w:t xml:space="preserve">, </w:t>
      </w:r>
      <w:r w:rsidR="00426EFB">
        <w:t>this also</w:t>
      </w:r>
      <w:r w:rsidR="00E11D29">
        <w:t xml:space="preserve"> reflected the reality that when Art</w:t>
      </w:r>
      <w:r w:rsidR="0008318B">
        <w:t>icle</w:t>
      </w:r>
      <w:r w:rsidR="00E11D29">
        <w:t xml:space="preserve"> 49(1) was enacted in its present form in 1965, members of SMCs were the only type of Members that the drafters </w:t>
      </w:r>
      <w:r w:rsidR="00711F61">
        <w:t>could</w:t>
      </w:r>
      <w:r w:rsidR="00E11D29">
        <w:t xml:space="preserve"> have had in mind</w:t>
      </w:r>
      <w:r w:rsidR="00CC0470">
        <w:t>,</w:t>
      </w:r>
      <w:r w:rsidR="00E11D29">
        <w:t xml:space="preserve"> </w:t>
      </w:r>
      <w:r w:rsidR="00426EFB">
        <w:t xml:space="preserve">as </w:t>
      </w:r>
      <w:r w:rsidR="00E11D29">
        <w:t xml:space="preserve">the GRC scheme </w:t>
      </w:r>
      <w:r w:rsidR="00662A33">
        <w:t>did not yet exist</w:t>
      </w:r>
      <w:r w:rsidR="00CC0470">
        <w:t>.</w:t>
      </w:r>
      <w:r w:rsidR="00DA05FF">
        <w:t xml:space="preserve"> </w:t>
      </w:r>
    </w:p>
    <w:p w14:paraId="567D38D1" w14:textId="77777777" w:rsidR="001E2E76" w:rsidRDefault="001E2E76" w:rsidP="00E97E36">
      <w:pPr>
        <w:widowControl w:val="0"/>
        <w:spacing w:after="0" w:line="240" w:lineRule="auto"/>
        <w:jc w:val="both"/>
      </w:pPr>
    </w:p>
    <w:p w14:paraId="6CDD7604" w14:textId="2564FE7C" w:rsidR="00722C43" w:rsidRDefault="002A7C6A" w:rsidP="00E97E36">
      <w:pPr>
        <w:widowControl w:val="0"/>
        <w:spacing w:after="0" w:line="240" w:lineRule="auto"/>
        <w:jc w:val="both"/>
      </w:pPr>
      <w:r>
        <w:t xml:space="preserve">The CA then </w:t>
      </w:r>
      <w:r w:rsidR="001878DA">
        <w:t>noted</w:t>
      </w:r>
      <w:r w:rsidR="00A561D2">
        <w:t xml:space="preserve"> that</w:t>
      </w:r>
      <w:r w:rsidR="00AA0902">
        <w:t xml:space="preserve"> </w:t>
      </w:r>
      <w:r w:rsidR="00AA0902" w:rsidRPr="00AA0902">
        <w:t xml:space="preserve">the fact that an express provision in the Constitution </w:t>
      </w:r>
      <w:r w:rsidR="00694A48">
        <w:t>did</w:t>
      </w:r>
      <w:r w:rsidR="00694A48" w:rsidRPr="00AA0902">
        <w:t xml:space="preserve"> </w:t>
      </w:r>
      <w:r w:rsidR="00AA0902" w:rsidRPr="00AA0902">
        <w:t>not exist for the filling of vacancies in a GRC</w:t>
      </w:r>
      <w:r w:rsidR="00495E36">
        <w:t>,</w:t>
      </w:r>
      <w:r w:rsidR="00AA0902" w:rsidRPr="00AA0902">
        <w:t xml:space="preserve"> </w:t>
      </w:r>
      <w:r w:rsidR="00126535">
        <w:t>did</w:t>
      </w:r>
      <w:r w:rsidR="00126535" w:rsidRPr="00AA0902">
        <w:t xml:space="preserve"> </w:t>
      </w:r>
      <w:r w:rsidR="00AA0902" w:rsidRPr="00AA0902">
        <w:t xml:space="preserve">not mean that all the seats in a GRC </w:t>
      </w:r>
      <w:r w:rsidR="00126535">
        <w:t>could</w:t>
      </w:r>
      <w:r w:rsidR="00126535" w:rsidRPr="00AA0902">
        <w:t xml:space="preserve"> </w:t>
      </w:r>
      <w:r w:rsidR="00AA0902" w:rsidRPr="00AA0902">
        <w:t xml:space="preserve">be left vacant without an obligation </w:t>
      </w:r>
      <w:r w:rsidR="00943B1E">
        <w:t>by</w:t>
      </w:r>
      <w:r w:rsidR="00AA0902" w:rsidRPr="00AA0902">
        <w:t xml:space="preserve"> the Government to call a by-election </w:t>
      </w:r>
      <w:r w:rsidR="00434515">
        <w:t>there</w:t>
      </w:r>
      <w:r w:rsidR="00AA0902" w:rsidRPr="00AA0902">
        <w:t xml:space="preserve">. </w:t>
      </w:r>
      <w:r w:rsidR="00234526">
        <w:t xml:space="preserve">Although the </w:t>
      </w:r>
      <w:r w:rsidR="002C1EA1">
        <w:t xml:space="preserve">CA </w:t>
      </w:r>
      <w:r w:rsidR="00234526">
        <w:t>refrained from expressing a definitive opinion, it noted that t</w:t>
      </w:r>
      <w:r w:rsidR="001F279D">
        <w:t>his</w:t>
      </w:r>
      <w:r w:rsidR="0030505C" w:rsidRPr="00AA0902">
        <w:t xml:space="preserve"> </w:t>
      </w:r>
      <w:r w:rsidR="0030505C">
        <w:t>was</w:t>
      </w:r>
      <w:r w:rsidR="00AA0902" w:rsidRPr="00AA0902">
        <w:t xml:space="preserve"> arguabl</w:t>
      </w:r>
      <w:r w:rsidR="0030505C">
        <w:t>y a gap in the Constitution, an</w:t>
      </w:r>
      <w:r w:rsidR="00234526">
        <w:t>d that it</w:t>
      </w:r>
      <w:r w:rsidR="0030505C">
        <w:t xml:space="preserve"> </w:t>
      </w:r>
      <w:r w:rsidR="00234526">
        <w:t xml:space="preserve">would </w:t>
      </w:r>
      <w:r w:rsidR="0066278B">
        <w:t>“</w:t>
      </w:r>
      <w:r w:rsidR="00234526">
        <w:t xml:space="preserve">obviously </w:t>
      </w:r>
      <w:r w:rsidR="0030505C">
        <w:t>be</w:t>
      </w:r>
      <w:r w:rsidR="00694A48" w:rsidRPr="00694A48">
        <w:t xml:space="preserve"> </w:t>
      </w:r>
      <w:r w:rsidR="00234526">
        <w:t xml:space="preserve">more </w:t>
      </w:r>
      <w:r w:rsidR="00694A48" w:rsidRPr="00694A48">
        <w:t>desirable</w:t>
      </w:r>
      <w:r w:rsidR="0066278B">
        <w:t>”</w:t>
      </w:r>
      <w:r w:rsidR="00694A48" w:rsidRPr="00694A48">
        <w:t xml:space="preserve"> for this </w:t>
      </w:r>
      <w:r w:rsidR="0030505C">
        <w:t>gap</w:t>
      </w:r>
      <w:r w:rsidR="00694A48" w:rsidRPr="00694A48">
        <w:t xml:space="preserve"> to be addressed by an amendment to the Constitution.</w:t>
      </w:r>
    </w:p>
    <w:p w14:paraId="094ADF9C" w14:textId="77777777" w:rsidR="00553E1E" w:rsidRDefault="00553E1E" w:rsidP="00E97E36">
      <w:pPr>
        <w:widowControl w:val="0"/>
        <w:spacing w:after="0" w:line="240" w:lineRule="auto"/>
        <w:jc w:val="both"/>
        <w:rPr>
          <w:rFonts w:cs="Times New Roman"/>
          <w:szCs w:val="24"/>
        </w:rPr>
      </w:pPr>
    </w:p>
    <w:p w14:paraId="7ACCDF19" w14:textId="77777777" w:rsidR="00270EF2" w:rsidRPr="007844A9" w:rsidRDefault="00270EF2" w:rsidP="00E97E36">
      <w:pPr>
        <w:pStyle w:val="Heading2"/>
        <w:widowControl w:val="0"/>
        <w:spacing w:after="0" w:line="240" w:lineRule="auto"/>
      </w:pPr>
      <w:r w:rsidRPr="007844A9">
        <w:t xml:space="preserve">Article 39A of the Constitution and minority </w:t>
      </w:r>
      <w:r>
        <w:t>representation</w:t>
      </w:r>
    </w:p>
    <w:p w14:paraId="74C57539" w14:textId="60B13B47" w:rsidR="00031BD8" w:rsidRDefault="003B2291" w:rsidP="00E97E36">
      <w:pPr>
        <w:widowControl w:val="0"/>
        <w:spacing w:after="0" w:line="240" w:lineRule="auto"/>
        <w:jc w:val="both"/>
      </w:pPr>
      <w:r w:rsidRPr="007844A9">
        <w:t>Art</w:t>
      </w:r>
      <w:r>
        <w:t>icle</w:t>
      </w:r>
      <w:r w:rsidRPr="007844A9">
        <w:t xml:space="preserve"> 39A</w:t>
      </w:r>
      <w:r w:rsidR="009A0949">
        <w:t xml:space="preserve"> </w:t>
      </w:r>
      <w:r w:rsidRPr="007844A9">
        <w:t>provides for the designation of constituencies as GRCs.</w:t>
      </w:r>
      <w:r>
        <w:t xml:space="preserve"> </w:t>
      </w:r>
      <w:r w:rsidR="002919A9">
        <w:t>The CA</w:t>
      </w:r>
      <w:r w:rsidR="00031BD8">
        <w:t xml:space="preserve"> rejected Dr Wong’s argument that </w:t>
      </w:r>
      <w:r w:rsidR="00031BD8" w:rsidRPr="00031BD8">
        <w:t xml:space="preserve">since the stated purpose of the GRC scheme </w:t>
      </w:r>
      <w:r w:rsidR="00031BD8">
        <w:t>was</w:t>
      </w:r>
      <w:r w:rsidR="00031BD8" w:rsidRPr="00031BD8">
        <w:t xml:space="preserve"> to ensure the representation in Parliament of minority Members, it would undermine the purpose of Art</w:t>
      </w:r>
      <w:r w:rsidR="00676717">
        <w:t>icle</w:t>
      </w:r>
      <w:r w:rsidR="00031BD8" w:rsidRPr="00031BD8">
        <w:t xml:space="preserve"> 39A to give effect to </w:t>
      </w:r>
      <w:r w:rsidR="00676717">
        <w:t>the AG’s</w:t>
      </w:r>
      <w:r w:rsidR="00031BD8" w:rsidRPr="00031BD8">
        <w:t xml:space="preserve"> proposed interpretations</w:t>
      </w:r>
      <w:r w:rsidR="00676717">
        <w:t xml:space="preserve">. </w:t>
      </w:r>
    </w:p>
    <w:p w14:paraId="21174A03" w14:textId="0EFAC8FE" w:rsidR="003B2291" w:rsidRDefault="003B2291" w:rsidP="00E97E36">
      <w:pPr>
        <w:widowControl w:val="0"/>
        <w:spacing w:after="0" w:line="240" w:lineRule="auto"/>
        <w:jc w:val="both"/>
      </w:pPr>
    </w:p>
    <w:p w14:paraId="2097BF37" w14:textId="4157BD2E" w:rsidR="00270EF2" w:rsidRPr="007844A9" w:rsidRDefault="002919A9" w:rsidP="00E97E36">
      <w:pPr>
        <w:widowControl w:val="0"/>
        <w:spacing w:after="0" w:line="240" w:lineRule="auto"/>
        <w:jc w:val="both"/>
      </w:pPr>
      <w:r>
        <w:t>Dr Wong</w:t>
      </w:r>
      <w:r w:rsidR="00DC2545">
        <w:t xml:space="preserve"> </w:t>
      </w:r>
      <w:r w:rsidR="0067260F">
        <w:t>claimed that</w:t>
      </w:r>
      <w:r w:rsidR="00DC2545" w:rsidRPr="007844A9">
        <w:t xml:space="preserve"> </w:t>
      </w:r>
      <w:r w:rsidR="00FE0AFD">
        <w:t>this was because</w:t>
      </w:r>
      <w:r w:rsidR="00FD0219">
        <w:t xml:space="preserve"> if a minority Member of a GRC vacated his or her seat,</w:t>
      </w:r>
      <w:r w:rsidR="00DC2545">
        <w:t xml:space="preserve"> minority representation in Parliament would be diminished and </w:t>
      </w:r>
      <w:r w:rsidR="00D27449">
        <w:t xml:space="preserve">go against the purpose of </w:t>
      </w:r>
      <w:r w:rsidR="00DC2545">
        <w:t xml:space="preserve"> Art</w:t>
      </w:r>
      <w:r w:rsidR="00FD0219">
        <w:t>icle</w:t>
      </w:r>
      <w:r w:rsidR="00DC2545">
        <w:t xml:space="preserve"> 39A if the vacancy </w:t>
      </w:r>
      <w:r w:rsidR="008C5FAB">
        <w:t xml:space="preserve">was </w:t>
      </w:r>
      <w:r w:rsidR="00DC2545">
        <w:t xml:space="preserve">not filled. </w:t>
      </w:r>
      <w:r w:rsidR="00373AD7">
        <w:t>However, t</w:t>
      </w:r>
      <w:r w:rsidR="00270EF2" w:rsidRPr="007844A9">
        <w:t xml:space="preserve">he CA </w:t>
      </w:r>
      <w:r w:rsidR="00BE57F3">
        <w:t>stated</w:t>
      </w:r>
      <w:r w:rsidR="00270EF2" w:rsidRPr="007844A9">
        <w:t xml:space="preserve"> that this </w:t>
      </w:r>
      <w:r w:rsidR="00056B54" w:rsidRPr="007844A9">
        <w:t>ignore</w:t>
      </w:r>
      <w:r w:rsidR="00056B54">
        <w:t>d</w:t>
      </w:r>
      <w:r w:rsidR="00056B54" w:rsidRPr="007844A9">
        <w:t xml:space="preserve"> </w:t>
      </w:r>
      <w:r w:rsidR="00270EF2" w:rsidRPr="007844A9">
        <w:t xml:space="preserve">the fact that </w:t>
      </w:r>
      <w:r w:rsidR="00270EF2" w:rsidRPr="007844A9">
        <w:lastRenderedPageBreak/>
        <w:t>Parliament</w:t>
      </w:r>
      <w:r w:rsidR="00231CF9">
        <w:t xml:space="preserve"> </w:t>
      </w:r>
      <w:r w:rsidR="00270EF2" w:rsidRPr="007844A9">
        <w:t>had</w:t>
      </w:r>
      <w:r w:rsidR="00231CF9">
        <w:t xml:space="preserve"> </w:t>
      </w:r>
      <w:r w:rsidR="00270EF2" w:rsidRPr="007844A9">
        <w:t xml:space="preserve">considered the risk of minority representation being diminished in this </w:t>
      </w:r>
      <w:r w:rsidR="00D27449">
        <w:t xml:space="preserve">specific </w:t>
      </w:r>
      <w:r w:rsidR="00270EF2" w:rsidRPr="007844A9">
        <w:t>situation</w:t>
      </w:r>
      <w:r w:rsidR="00231CF9">
        <w:t>, as could be seen from the Parli</w:t>
      </w:r>
      <w:r w:rsidR="00EF4B89">
        <w:t>a</w:t>
      </w:r>
      <w:r w:rsidR="00231CF9">
        <w:t>mentary debates</w:t>
      </w:r>
      <w:r w:rsidR="00056B54">
        <w:t>.</w:t>
      </w:r>
      <w:r w:rsidR="00270EF2" w:rsidRPr="007844A9">
        <w:t xml:space="preserve"> </w:t>
      </w:r>
      <w:r w:rsidR="00F87B55">
        <w:t>Parli</w:t>
      </w:r>
      <w:r w:rsidR="00EF4B89">
        <w:t>a</w:t>
      </w:r>
      <w:r w:rsidR="00F87B55">
        <w:t>ment</w:t>
      </w:r>
      <w:r w:rsidR="00056B54">
        <w:t xml:space="preserve"> </w:t>
      </w:r>
      <w:r w:rsidR="00270EF2" w:rsidRPr="007844A9">
        <w:t>decided that this risk was an acceptable trade-off</w:t>
      </w:r>
      <w:r w:rsidR="004E7AA6">
        <w:t>,</w:t>
      </w:r>
      <w:r w:rsidR="00270EF2" w:rsidRPr="007844A9">
        <w:t xml:space="preserve"> for preventing a </w:t>
      </w:r>
      <w:r w:rsidR="00875D03">
        <w:t xml:space="preserve">GRC </w:t>
      </w:r>
      <w:r w:rsidR="00270EF2" w:rsidRPr="007844A9">
        <w:t xml:space="preserve">Member from otherwise being able to hold the rest of the </w:t>
      </w:r>
      <w:r w:rsidR="00875D03">
        <w:t xml:space="preserve">GRC </w:t>
      </w:r>
      <w:r w:rsidR="00270EF2" w:rsidRPr="007844A9">
        <w:t xml:space="preserve">Members to </w:t>
      </w:r>
      <w:r w:rsidR="0026436E">
        <w:t>“</w:t>
      </w:r>
      <w:r w:rsidR="00270EF2" w:rsidRPr="007844A9">
        <w:t>ransom</w:t>
      </w:r>
      <w:r w:rsidR="0026436E">
        <w:t>”</w:t>
      </w:r>
      <w:r w:rsidR="00270EF2" w:rsidRPr="007844A9">
        <w:t xml:space="preserve">. To accept </w:t>
      </w:r>
      <w:r>
        <w:t>Dr Wong’s</w:t>
      </w:r>
      <w:r w:rsidR="00270EF2" w:rsidRPr="007844A9">
        <w:t xml:space="preserve"> argument </w:t>
      </w:r>
      <w:r w:rsidR="00DC6DFB">
        <w:t xml:space="preserve">here </w:t>
      </w:r>
      <w:r w:rsidR="00270EF2" w:rsidRPr="007844A9">
        <w:t>would run contrary to Parliament’s intention</w:t>
      </w:r>
      <w:r w:rsidR="002C1EA1">
        <w:t>.</w:t>
      </w:r>
      <w:r w:rsidR="00270EF2" w:rsidRPr="007844A9">
        <w:t xml:space="preserve"> </w:t>
      </w:r>
      <w:r w:rsidR="002C1EA1">
        <w:t>It would</w:t>
      </w:r>
      <w:r w:rsidR="00270EF2" w:rsidRPr="007844A9">
        <w:t xml:space="preserve"> import into the GRC scheme a risk that Parliament had explicitly intended to avoid, in exchange for removing a risk that Parliament had explicitly expressed its willingness to accept. The CA </w:t>
      </w:r>
      <w:r w:rsidR="001661ED">
        <w:t>noted</w:t>
      </w:r>
      <w:r w:rsidR="00270EF2" w:rsidRPr="007844A9">
        <w:t xml:space="preserve"> that such a reversal of the policy choice that Parliament had expressly made </w:t>
      </w:r>
      <w:r w:rsidR="00DE0AF2">
        <w:t>would strike</w:t>
      </w:r>
      <w:r w:rsidR="00DE0AF2" w:rsidRPr="007844A9">
        <w:t xml:space="preserve"> </w:t>
      </w:r>
      <w:r w:rsidR="00A7454E">
        <w:t>“</w:t>
      </w:r>
      <w:r w:rsidR="00270EF2" w:rsidRPr="007844A9">
        <w:t xml:space="preserve">at the heart of the concern behind judicial legislation, and would result in </w:t>
      </w:r>
      <w:r w:rsidR="00A36FE7">
        <w:t>the courts</w:t>
      </w:r>
      <w:r w:rsidR="00A36FE7" w:rsidRPr="007844A9">
        <w:t xml:space="preserve"> </w:t>
      </w:r>
      <w:r w:rsidR="00270EF2" w:rsidRPr="007844A9">
        <w:t xml:space="preserve">overstepping </w:t>
      </w:r>
      <w:r w:rsidR="00A36FE7">
        <w:t>their</w:t>
      </w:r>
      <w:r w:rsidR="00A36FE7" w:rsidRPr="007844A9">
        <w:t xml:space="preserve"> </w:t>
      </w:r>
      <w:r w:rsidR="00270EF2" w:rsidRPr="007844A9">
        <w:t>constitutional role</w:t>
      </w:r>
      <w:r w:rsidR="00A7454E">
        <w:t>”</w:t>
      </w:r>
      <w:r w:rsidR="00270EF2" w:rsidRPr="007844A9">
        <w:t>.</w:t>
      </w:r>
      <w:r w:rsidR="00584655">
        <w:t xml:space="preserve"> The CA stressed that it was not for the court </w:t>
      </w:r>
      <w:r w:rsidR="00584655" w:rsidRPr="00584655">
        <w:t>to debate the best policy to enshrine minority representation in Parliament, much less when Parliament itself ha</w:t>
      </w:r>
      <w:r w:rsidR="00AC66B1">
        <w:t>d</w:t>
      </w:r>
      <w:r w:rsidR="00584655" w:rsidRPr="00584655">
        <w:t xml:space="preserve"> already chosen a particular</w:t>
      </w:r>
      <w:r w:rsidR="00231CF9">
        <w:t xml:space="preserve"> approach</w:t>
      </w:r>
      <w:r w:rsidR="00584655" w:rsidRPr="00584655">
        <w:t xml:space="preserve"> with all its attendant risks.</w:t>
      </w:r>
    </w:p>
    <w:p w14:paraId="788F61A4" w14:textId="77777777" w:rsidR="00270EF2" w:rsidRPr="007844A9" w:rsidRDefault="00270EF2" w:rsidP="00E97E36">
      <w:pPr>
        <w:widowControl w:val="0"/>
        <w:spacing w:after="0" w:line="240" w:lineRule="auto"/>
        <w:jc w:val="both"/>
      </w:pPr>
    </w:p>
    <w:p w14:paraId="2FA1C76A" w14:textId="77777777" w:rsidR="00270EF2" w:rsidRPr="007844A9" w:rsidRDefault="00270EF2" w:rsidP="00E97E36">
      <w:pPr>
        <w:pStyle w:val="Heading2"/>
        <w:widowControl w:val="0"/>
        <w:spacing w:after="0" w:line="240" w:lineRule="auto"/>
      </w:pPr>
      <w:r w:rsidRPr="007844A9">
        <w:t>The implied right to representation in Parliament</w:t>
      </w:r>
    </w:p>
    <w:p w14:paraId="21FD0A2A" w14:textId="598EE3C9" w:rsidR="00856B44" w:rsidRDefault="00856B44" w:rsidP="00E97E36">
      <w:pPr>
        <w:widowControl w:val="0"/>
        <w:spacing w:after="0" w:line="240" w:lineRule="auto"/>
        <w:jc w:val="both"/>
      </w:pPr>
      <w:r>
        <w:t xml:space="preserve">The CA </w:t>
      </w:r>
      <w:r w:rsidR="00311262">
        <w:t xml:space="preserve">also rejected Dr Wong’s argument </w:t>
      </w:r>
      <w:r w:rsidR="008A7431">
        <w:t xml:space="preserve">that because </w:t>
      </w:r>
      <w:r w:rsidR="008A7431" w:rsidRPr="00F54766">
        <w:t xml:space="preserve">voters </w:t>
      </w:r>
      <w:r w:rsidR="008A7431">
        <w:t>had</w:t>
      </w:r>
      <w:r w:rsidR="008A7431" w:rsidRPr="00F54766">
        <w:t xml:space="preserve"> a right to representation in Parliament founded on the basic structure of the Constitution</w:t>
      </w:r>
      <w:r w:rsidR="008A7431">
        <w:t xml:space="preserve">, </w:t>
      </w:r>
      <w:r w:rsidR="00450499" w:rsidRPr="00450499">
        <w:t xml:space="preserve">the remaining Members of MYT GRC </w:t>
      </w:r>
      <w:r w:rsidR="00450499">
        <w:t xml:space="preserve">had to </w:t>
      </w:r>
      <w:r w:rsidR="00450499" w:rsidRPr="00450499">
        <w:t>vacate their seats and a by-election then be hel</w:t>
      </w:r>
      <w:r w:rsidR="00450499">
        <w:t>d</w:t>
      </w:r>
      <w:r w:rsidR="00CE6700">
        <w:t xml:space="preserve">. Dr Wong argued </w:t>
      </w:r>
      <w:r w:rsidR="00F54766" w:rsidRPr="00F54766">
        <w:t>that this basic structure include</w:t>
      </w:r>
      <w:r w:rsidR="0070315A">
        <w:t>d</w:t>
      </w:r>
      <w:r w:rsidR="00F54766" w:rsidRPr="00F54766">
        <w:t xml:space="preserve"> the right to be represented by the full slate of elected Members returned at each general election</w:t>
      </w:r>
      <w:r w:rsidR="006D4317" w:rsidRPr="006D4317">
        <w:t>.</w:t>
      </w:r>
      <w:r w:rsidR="002448C3">
        <w:t xml:space="preserve"> The CA </w:t>
      </w:r>
      <w:r w:rsidR="008275CD">
        <w:t>observed that Dr Wong’s</w:t>
      </w:r>
      <w:r w:rsidR="008275CD" w:rsidRPr="008275CD">
        <w:t xml:space="preserve"> contention, taken to its logical conclusion, implie</w:t>
      </w:r>
      <w:r w:rsidR="00375C52">
        <w:t>d</w:t>
      </w:r>
      <w:r w:rsidR="008275CD" w:rsidRPr="008275CD">
        <w:t xml:space="preserve"> that the GRC scheme </w:t>
      </w:r>
      <w:r w:rsidR="00BC000D">
        <w:t>was</w:t>
      </w:r>
      <w:r w:rsidR="008275CD" w:rsidRPr="008275CD">
        <w:t xml:space="preserve"> inconsistent with the basic structure of the Constitution.</w:t>
      </w:r>
      <w:r w:rsidR="004146B2">
        <w:t xml:space="preserve"> E</w:t>
      </w:r>
      <w:r w:rsidR="00CF168E">
        <w:t xml:space="preserve">ven if </w:t>
      </w:r>
      <w:r>
        <w:t>the right to representation in Parliament</w:t>
      </w:r>
      <w:r w:rsidR="00CF168E">
        <w:t xml:space="preserve"> formed part of the basic structure of the Constitution, it did not follow that there was a particular form of representation </w:t>
      </w:r>
      <w:r w:rsidR="00CF168E" w:rsidRPr="00CF168E">
        <w:t xml:space="preserve">that </w:t>
      </w:r>
      <w:r w:rsidR="008275CD">
        <w:t>was</w:t>
      </w:r>
      <w:r w:rsidR="008275CD" w:rsidRPr="00CF168E">
        <w:t xml:space="preserve"> </w:t>
      </w:r>
      <w:r w:rsidR="00CF168E" w:rsidRPr="00CF168E">
        <w:t xml:space="preserve">“fundamental and essential” to </w:t>
      </w:r>
      <w:r w:rsidR="00833FF4">
        <w:t>this</w:t>
      </w:r>
      <w:r w:rsidR="00186B88">
        <w:t xml:space="preserve"> </w:t>
      </w:r>
      <w:r w:rsidR="00CF168E" w:rsidRPr="00CF168E">
        <w:t xml:space="preserve">model of government, such that it </w:t>
      </w:r>
      <w:r w:rsidR="00BE227D">
        <w:t>could not</w:t>
      </w:r>
      <w:r w:rsidR="00BE227D" w:rsidRPr="00CF168E">
        <w:t xml:space="preserve"> </w:t>
      </w:r>
      <w:r w:rsidR="00CF168E" w:rsidRPr="00CF168E">
        <w:t xml:space="preserve">be departed from. </w:t>
      </w:r>
      <w:r w:rsidR="00186B88">
        <w:t>T</w:t>
      </w:r>
      <w:r w:rsidR="00CF168E" w:rsidRPr="00CF168E">
        <w:t xml:space="preserve">here </w:t>
      </w:r>
      <w:r w:rsidR="00B0349E">
        <w:t>was</w:t>
      </w:r>
      <w:r w:rsidR="00B0349E" w:rsidRPr="00CF168E">
        <w:t xml:space="preserve"> </w:t>
      </w:r>
      <w:r w:rsidR="00CF168E" w:rsidRPr="00CF168E">
        <w:t>nothing in principle that would prevent Parliament from devising the GRC scheme in such a way that a GRC could be left to be represented by less than its full complement of Members</w:t>
      </w:r>
      <w:r w:rsidR="00BE07E4">
        <w:t xml:space="preserve"> </w:t>
      </w:r>
      <w:r w:rsidR="00AA39EE">
        <w:t>w</w:t>
      </w:r>
      <w:r w:rsidR="00BE07E4" w:rsidRPr="00BE07E4">
        <w:t>here one or more of them has vacated his or her seat</w:t>
      </w:r>
      <w:r w:rsidR="00CF168E" w:rsidRPr="00CF168E">
        <w:t>.</w:t>
      </w:r>
    </w:p>
    <w:p w14:paraId="643A27CD" w14:textId="2615CAF3" w:rsidR="004D0AF7" w:rsidRDefault="004D0AF7" w:rsidP="00E97E36">
      <w:pPr>
        <w:widowControl w:val="0"/>
        <w:spacing w:after="0" w:line="240" w:lineRule="auto"/>
        <w:jc w:val="both"/>
      </w:pPr>
    </w:p>
    <w:p w14:paraId="2D17A033" w14:textId="6295495F" w:rsidR="004D0AF7" w:rsidRDefault="004D0AF7" w:rsidP="00E97E36">
      <w:pPr>
        <w:widowControl w:val="0"/>
        <w:spacing w:after="0" w:line="240" w:lineRule="auto"/>
        <w:jc w:val="both"/>
      </w:pPr>
      <w:r w:rsidRPr="004D0AF7">
        <w:t xml:space="preserve">The </w:t>
      </w:r>
      <w:r w:rsidR="002C1EA1">
        <w:t xml:space="preserve">CA </w:t>
      </w:r>
      <w:r w:rsidRPr="004D0AF7">
        <w:t xml:space="preserve">also </w:t>
      </w:r>
      <w:r w:rsidR="00B265D2">
        <w:t>rejected Dr Wong’s</w:t>
      </w:r>
      <w:r w:rsidRPr="004D0AF7">
        <w:t xml:space="preserve"> reliance on Art</w:t>
      </w:r>
      <w:r w:rsidR="00E9397C">
        <w:t>icle</w:t>
      </w:r>
      <w:r w:rsidRPr="004D0AF7">
        <w:t xml:space="preserve"> 39(1)(</w:t>
      </w:r>
      <w:r w:rsidRPr="00962777">
        <w:rPr>
          <w:i/>
          <w:iCs/>
        </w:rPr>
        <w:t>a</w:t>
      </w:r>
      <w:r w:rsidRPr="004D0AF7">
        <w:t>) to substantiate her argument</w:t>
      </w:r>
      <w:r w:rsidR="00E9397C">
        <w:t xml:space="preserve">. </w:t>
      </w:r>
      <w:r w:rsidR="00364EAA">
        <w:t>That</w:t>
      </w:r>
      <w:r w:rsidRPr="004D0AF7">
        <w:t xml:space="preserve"> </w:t>
      </w:r>
      <w:r w:rsidRPr="00647D1B">
        <w:rPr>
          <w:rFonts w:cs="Times New Roman"/>
        </w:rPr>
        <w:t>provision</w:t>
      </w:r>
      <w:r w:rsidRPr="004D0AF7">
        <w:t xml:space="preserve"> </w:t>
      </w:r>
      <w:r w:rsidR="00E9397C">
        <w:t xml:space="preserve">described the composition of Parliament; it </w:t>
      </w:r>
      <w:r w:rsidRPr="004D0AF7">
        <w:t>did not deal with either by-elections or how mid-term vacancies were to be filled</w:t>
      </w:r>
      <w:r w:rsidR="00E9397C">
        <w:t xml:space="preserve">. </w:t>
      </w:r>
    </w:p>
    <w:p w14:paraId="09D68012" w14:textId="08576271" w:rsidR="00662DF1" w:rsidRDefault="00662DF1" w:rsidP="00E97E36">
      <w:pPr>
        <w:widowControl w:val="0"/>
        <w:spacing w:after="0" w:line="240" w:lineRule="auto"/>
        <w:jc w:val="both"/>
      </w:pPr>
    </w:p>
    <w:p w14:paraId="78023FB5" w14:textId="142CB401" w:rsidR="00BA2A76" w:rsidRPr="00FB5053" w:rsidRDefault="00962777" w:rsidP="00E97E36">
      <w:pPr>
        <w:pStyle w:val="Heading1"/>
        <w:widowControl w:val="0"/>
        <w:spacing w:after="0" w:line="240" w:lineRule="auto"/>
        <w:ind w:left="567" w:hanging="567"/>
        <w:jc w:val="both"/>
      </w:pPr>
      <w:r w:rsidRPr="00A426F2">
        <w:t>Less</w:t>
      </w:r>
      <w:r w:rsidRPr="00647D1B">
        <w:t>ons Learnt</w:t>
      </w:r>
    </w:p>
    <w:p w14:paraId="4F5C2805" w14:textId="6368F58F" w:rsidR="00F8382A" w:rsidRDefault="00962777" w:rsidP="00E97E36">
      <w:pPr>
        <w:widowControl w:val="0"/>
        <w:spacing w:after="0" w:line="240" w:lineRule="auto"/>
        <w:jc w:val="both"/>
      </w:pPr>
      <w:r>
        <w:rPr>
          <w:lang w:val="en-US"/>
        </w:rPr>
        <w:t xml:space="preserve">It is notable that </w:t>
      </w:r>
      <w:r w:rsidR="005915B2">
        <w:rPr>
          <w:lang w:val="en-US"/>
        </w:rPr>
        <w:t xml:space="preserve">the CA </w:t>
      </w:r>
      <w:r w:rsidR="009D77DD">
        <w:rPr>
          <w:lang w:val="en-US"/>
        </w:rPr>
        <w:t xml:space="preserve">suggested </w:t>
      </w:r>
      <w:r w:rsidR="00F8382A" w:rsidRPr="00AA0902">
        <w:t xml:space="preserve">that </w:t>
      </w:r>
      <w:r w:rsidR="00C024C9">
        <w:t>the lack of an</w:t>
      </w:r>
      <w:r w:rsidR="00F8382A" w:rsidRPr="00AA0902">
        <w:t xml:space="preserve"> express provision in the Constitution for the filling of vacancies in a GRC </w:t>
      </w:r>
      <w:r w:rsidR="00F8382A">
        <w:t>did</w:t>
      </w:r>
      <w:r w:rsidR="00F8382A" w:rsidRPr="00AA0902">
        <w:t xml:space="preserve"> not mean that all the seats in a GRC </w:t>
      </w:r>
      <w:r w:rsidR="00F8382A">
        <w:t>could</w:t>
      </w:r>
      <w:r w:rsidR="00F8382A" w:rsidRPr="00AA0902">
        <w:t xml:space="preserve"> be left vacant without </w:t>
      </w:r>
      <w:r w:rsidR="009F0BD9">
        <w:t>the need</w:t>
      </w:r>
      <w:r w:rsidR="00F8382A" w:rsidRPr="00AA0902">
        <w:t xml:space="preserve"> to call a by-election</w:t>
      </w:r>
      <w:r w:rsidR="002C1EA1">
        <w:t>.</w:t>
      </w:r>
      <w:r w:rsidR="009F0BD9">
        <w:t xml:space="preserve"> </w:t>
      </w:r>
      <w:r w:rsidR="002C1EA1">
        <w:t>The CA</w:t>
      </w:r>
      <w:r w:rsidR="009F0BD9">
        <w:t xml:space="preserve"> even </w:t>
      </w:r>
      <w:r w:rsidR="00C45F2F">
        <w:t xml:space="preserve">suggested </w:t>
      </w:r>
      <w:r w:rsidR="00580F3B">
        <w:t xml:space="preserve">the desirability of this gap being closed through </w:t>
      </w:r>
      <w:r w:rsidR="00F8382A" w:rsidRPr="00694A48">
        <w:t>an amendment to the Constitution.</w:t>
      </w:r>
      <w:r w:rsidR="008E39FF">
        <w:t xml:space="preserve"> We </w:t>
      </w:r>
      <w:r w:rsidR="00722B29">
        <w:t>await</w:t>
      </w:r>
      <w:r w:rsidR="008E39FF">
        <w:t xml:space="preserve"> Parliament</w:t>
      </w:r>
      <w:r w:rsidR="00722B29">
        <w:t xml:space="preserve">’s response to </w:t>
      </w:r>
      <w:r w:rsidR="008E39FF">
        <w:t>this suggestion.</w:t>
      </w:r>
    </w:p>
    <w:p w14:paraId="70C86AFE" w14:textId="77777777" w:rsidR="00647D1B" w:rsidRPr="007A0543" w:rsidRDefault="00647D1B" w:rsidP="00E97E36">
      <w:pPr>
        <w:widowControl w:val="0"/>
        <w:pBdr>
          <w:bottom w:val="single" w:sz="12" w:space="1" w:color="auto"/>
        </w:pBdr>
        <w:spacing w:after="0" w:line="240" w:lineRule="auto"/>
      </w:pPr>
    </w:p>
    <w:p w14:paraId="53BD8FED" w14:textId="09B12AE7" w:rsidR="00647D1B" w:rsidRPr="00FB5053" w:rsidRDefault="00647D1B" w:rsidP="00E97E36">
      <w:pPr>
        <w:widowControl w:val="0"/>
        <w:spacing w:after="0" w:line="240" w:lineRule="auto"/>
        <w:jc w:val="both"/>
        <w:rPr>
          <w:sz w:val="22"/>
        </w:rPr>
      </w:pPr>
      <w:r w:rsidRPr="00FB5053">
        <w:rPr>
          <w:sz w:val="22"/>
        </w:rPr>
        <w:t xml:space="preserve">Written by: Lee Chuan, JD </w:t>
      </w:r>
      <w:r w:rsidR="003859CD" w:rsidRPr="00FB5053">
        <w:rPr>
          <w:sz w:val="22"/>
        </w:rPr>
        <w:t>G</w:t>
      </w:r>
      <w:r w:rsidRPr="00FB5053">
        <w:rPr>
          <w:sz w:val="22"/>
        </w:rPr>
        <w:t>raduate</w:t>
      </w:r>
      <w:r w:rsidR="003859CD" w:rsidRPr="00FB5053">
        <w:rPr>
          <w:sz w:val="22"/>
        </w:rPr>
        <w:t xml:space="preserve"> (2019)</w:t>
      </w:r>
      <w:r w:rsidRPr="00FB5053">
        <w:rPr>
          <w:sz w:val="22"/>
        </w:rPr>
        <w:t xml:space="preserve">, Singapore Management University School of Law. </w:t>
      </w:r>
    </w:p>
    <w:p w14:paraId="2A476877" w14:textId="4CA1542D" w:rsidR="00647D1B" w:rsidRPr="00FB5053" w:rsidRDefault="00647D1B" w:rsidP="00E97E36">
      <w:pPr>
        <w:widowControl w:val="0"/>
        <w:spacing w:after="0" w:line="240" w:lineRule="auto"/>
        <w:jc w:val="both"/>
        <w:rPr>
          <w:sz w:val="22"/>
        </w:rPr>
      </w:pPr>
      <w:r w:rsidRPr="00FB5053">
        <w:rPr>
          <w:sz w:val="22"/>
        </w:rPr>
        <w:t>Edited by: Ong Ee Ing (Senior Lecturer), Singapore Management University School of Law.</w:t>
      </w:r>
    </w:p>
    <w:p w14:paraId="107F7041" w14:textId="77777777" w:rsidR="00647D1B" w:rsidRPr="00D37030" w:rsidRDefault="00647D1B" w:rsidP="00E97E36">
      <w:pPr>
        <w:widowControl w:val="0"/>
        <w:spacing w:after="0" w:line="240" w:lineRule="auto"/>
        <w:jc w:val="both"/>
        <w:rPr>
          <w:rFonts w:cs="Times New Roman"/>
        </w:rPr>
      </w:pPr>
    </w:p>
    <w:p w14:paraId="4EFD4B8A" w14:textId="266BDB9F" w:rsidR="00A75C0C" w:rsidRDefault="00A75C0C" w:rsidP="00E97E36">
      <w:pPr>
        <w:widowControl w:val="0"/>
        <w:spacing w:after="0" w:line="240" w:lineRule="auto"/>
        <w:jc w:val="both"/>
      </w:pPr>
    </w:p>
    <w:p w14:paraId="126DCBB8" w14:textId="26B34878" w:rsidR="00AC315B" w:rsidRPr="00F87525" w:rsidRDefault="00AC315B" w:rsidP="00E97E36">
      <w:pPr>
        <w:widowControl w:val="0"/>
        <w:spacing w:after="0" w:line="240" w:lineRule="auto"/>
        <w:jc w:val="both"/>
      </w:pPr>
    </w:p>
    <w:sectPr w:rsidR="00AC315B" w:rsidRPr="00F8752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D03DA" w14:textId="77777777" w:rsidR="00510810" w:rsidRDefault="00510810" w:rsidP="0012356D">
      <w:pPr>
        <w:spacing w:after="0" w:line="240" w:lineRule="auto"/>
      </w:pPr>
      <w:r>
        <w:separator/>
      </w:r>
    </w:p>
  </w:endnote>
  <w:endnote w:type="continuationSeparator" w:id="0">
    <w:p w14:paraId="02C01D86" w14:textId="77777777" w:rsidR="00510810" w:rsidRDefault="00510810" w:rsidP="0012356D">
      <w:pPr>
        <w:spacing w:after="0" w:line="240" w:lineRule="auto"/>
      </w:pPr>
      <w:r>
        <w:continuationSeparator/>
      </w:r>
    </w:p>
  </w:endnote>
  <w:endnote w:type="continuationNotice" w:id="1">
    <w:p w14:paraId="76A0298B" w14:textId="77777777" w:rsidR="00510810" w:rsidRDefault="005108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9184" w14:textId="17B14963" w:rsidR="00E137E5" w:rsidRDefault="002E66A5" w:rsidP="00266DA2">
    <w:pPr>
      <w:pStyle w:val="Footer"/>
      <w:jc w:val="center"/>
    </w:pPr>
    <w:r>
      <w:rPr>
        <w:rFonts w:cs="Times New Roman"/>
        <w:lang w:val="en-US"/>
      </w:rPr>
      <w:t xml:space="preserve">Page </w:t>
    </w:r>
    <w:r>
      <w:rPr>
        <w:rFonts w:cs="Times New Roman"/>
        <w:lang w:val="en-US"/>
      </w:rPr>
      <w:fldChar w:fldCharType="begin"/>
    </w:r>
    <w:r>
      <w:rPr>
        <w:rFonts w:cs="Times New Roman"/>
        <w:lang w:val="en-US"/>
      </w:rPr>
      <w:instrText xml:space="preserve"> PAGE </w:instrText>
    </w:r>
    <w:r>
      <w:rPr>
        <w:rFonts w:cs="Times New Roman"/>
        <w:lang w:val="en-US"/>
      </w:rPr>
      <w:fldChar w:fldCharType="separate"/>
    </w:r>
    <w:r w:rsidR="007826C5">
      <w:rPr>
        <w:rFonts w:cs="Times New Roman"/>
        <w:noProof/>
        <w:lang w:val="en-US"/>
      </w:rPr>
      <w:t>2</w:t>
    </w:r>
    <w:r>
      <w:rPr>
        <w:rFonts w:cs="Times New Roman"/>
        <w:lang w:val="en-US"/>
      </w:rPr>
      <w:fldChar w:fldCharType="end"/>
    </w:r>
    <w:r>
      <w:rPr>
        <w:rFonts w:cs="Times New Roman"/>
        <w:lang w:val="en-US"/>
      </w:rPr>
      <w:t xml:space="preserve"> of </w:t>
    </w:r>
    <w:r>
      <w:rPr>
        <w:rFonts w:cs="Times New Roman"/>
        <w:lang w:val="en-US"/>
      </w:rPr>
      <w:fldChar w:fldCharType="begin"/>
    </w:r>
    <w:r>
      <w:rPr>
        <w:rFonts w:cs="Times New Roman"/>
        <w:lang w:val="en-US"/>
      </w:rPr>
      <w:instrText xml:space="preserve"> NUMPAGES </w:instrText>
    </w:r>
    <w:r>
      <w:rPr>
        <w:rFonts w:cs="Times New Roman"/>
        <w:lang w:val="en-US"/>
      </w:rPr>
      <w:fldChar w:fldCharType="separate"/>
    </w:r>
    <w:r w:rsidR="007826C5">
      <w:rPr>
        <w:rFonts w:cs="Times New Roman"/>
        <w:noProof/>
        <w:lang w:val="en-US"/>
      </w:rPr>
      <w:t>6</w:t>
    </w:r>
    <w:r>
      <w:rPr>
        <w:rFonts w:cs="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E2557" w14:textId="77777777" w:rsidR="00510810" w:rsidRDefault="00510810" w:rsidP="0012356D">
      <w:pPr>
        <w:spacing w:after="0" w:line="240" w:lineRule="auto"/>
      </w:pPr>
      <w:r>
        <w:separator/>
      </w:r>
    </w:p>
  </w:footnote>
  <w:footnote w:type="continuationSeparator" w:id="0">
    <w:p w14:paraId="58DF96B5" w14:textId="77777777" w:rsidR="00510810" w:rsidRDefault="00510810" w:rsidP="0012356D">
      <w:pPr>
        <w:spacing w:after="0" w:line="240" w:lineRule="auto"/>
      </w:pPr>
      <w:r>
        <w:continuationSeparator/>
      </w:r>
    </w:p>
  </w:footnote>
  <w:footnote w:type="continuationNotice" w:id="1">
    <w:p w14:paraId="2DB2B3D2" w14:textId="77777777" w:rsidR="00510810" w:rsidRDefault="00510810">
      <w:pPr>
        <w:spacing w:after="0" w:line="240" w:lineRule="auto"/>
      </w:pPr>
    </w:p>
  </w:footnote>
  <w:footnote w:id="2">
    <w:p w14:paraId="526CBB0E" w14:textId="3D081031" w:rsidR="00D36568" w:rsidRPr="008F76B2" w:rsidRDefault="00D36568" w:rsidP="00AD389F">
      <w:pPr>
        <w:pStyle w:val="FootnoteText"/>
        <w:ind w:left="0" w:firstLine="0"/>
        <w:rPr>
          <w:lang w:val="en-US"/>
        </w:rPr>
      </w:pPr>
      <w:r>
        <w:rPr>
          <w:rStyle w:val="FootnoteReference"/>
        </w:rPr>
        <w:footnoteRef/>
      </w:r>
      <w:r>
        <w:t xml:space="preserve"> </w:t>
      </w:r>
      <w:r>
        <w:rPr>
          <w:lang w:val="en-US"/>
        </w:rPr>
        <w:t xml:space="preserve">The CA also addressed </w:t>
      </w:r>
      <w:r w:rsidRPr="00D36568">
        <w:rPr>
          <w:lang w:val="en-US"/>
        </w:rPr>
        <w:t xml:space="preserve">two procedural issues </w:t>
      </w:r>
      <w:r>
        <w:rPr>
          <w:lang w:val="en-US"/>
        </w:rPr>
        <w:t>(</w:t>
      </w:r>
      <w:r w:rsidR="005C5651">
        <w:rPr>
          <w:lang w:val="en-US"/>
        </w:rPr>
        <w:t xml:space="preserve">concerning </w:t>
      </w:r>
      <w:r>
        <w:rPr>
          <w:lang w:val="en-US"/>
        </w:rPr>
        <w:t xml:space="preserve">whether leave for judicial review should have been granted by the HC, and whether the HC erred in ordering costs against Dr Wong). However, </w:t>
      </w:r>
      <w:r w:rsidR="00151BB8">
        <w:rPr>
          <w:lang w:val="en-US"/>
        </w:rPr>
        <w:t>that discussion did not affect</w:t>
      </w:r>
      <w:r>
        <w:rPr>
          <w:lang w:val="en-US"/>
        </w:rPr>
        <w:t xml:space="preserve"> the substantive issues discussed</w:t>
      </w:r>
      <w:r w:rsidRPr="00D36568">
        <w:rPr>
          <w:lang w:val="en-US"/>
        </w:rPr>
        <w:t>.</w:t>
      </w:r>
    </w:p>
  </w:footnote>
  <w:footnote w:id="3">
    <w:p w14:paraId="60180768" w14:textId="2D449847" w:rsidR="00FD340B" w:rsidRPr="00FD340B" w:rsidRDefault="00FD340B" w:rsidP="00AD389F">
      <w:pPr>
        <w:pStyle w:val="FootnoteText"/>
        <w:ind w:left="0" w:firstLine="0"/>
      </w:pPr>
      <w:r>
        <w:rPr>
          <w:rStyle w:val="FootnoteReference"/>
        </w:rPr>
        <w:footnoteRef/>
      </w:r>
      <w:r>
        <w:t xml:space="preserve"> </w:t>
      </w:r>
      <w:r w:rsidR="00361689">
        <w:t xml:space="preserve">In general, extraneous </w:t>
      </w:r>
      <w:r w:rsidR="00B26F76">
        <w:t xml:space="preserve">(or external) </w:t>
      </w:r>
      <w:r w:rsidR="00361689">
        <w:t xml:space="preserve">material </w:t>
      </w:r>
      <w:r w:rsidR="003A69E1">
        <w:t>may only be used</w:t>
      </w:r>
      <w:r w:rsidR="00C70EAB">
        <w:t xml:space="preserve"> </w:t>
      </w:r>
      <w:r w:rsidR="00BA6854">
        <w:t>to help</w:t>
      </w:r>
      <w:r w:rsidR="00C70EAB">
        <w:t xml:space="preserve"> interpret</w:t>
      </w:r>
      <w:r w:rsidR="007316A0">
        <w:t xml:space="preserve"> a provision</w:t>
      </w:r>
      <w:r w:rsidR="003A69E1">
        <w:t xml:space="preserve">: (a) where the ordinary meaning of the provision </w:t>
      </w:r>
      <w:r w:rsidR="00592D54">
        <w:t xml:space="preserve">(in light of its context and purpose) </w:t>
      </w:r>
      <w:r w:rsidR="003A69E1">
        <w:t xml:space="preserve">is clear, to confirm its ordinary meaning but not to alter </w:t>
      </w:r>
      <w:r w:rsidR="002708CD">
        <w:t xml:space="preserve">such </w:t>
      </w:r>
      <w:r w:rsidR="003A69E1">
        <w:t>meaning; (b) where the provision appears</w:t>
      </w:r>
      <w:r w:rsidR="003A69E1" w:rsidRPr="00323BD3">
        <w:t xml:space="preserve"> </w:t>
      </w:r>
      <w:r w:rsidR="003A69E1" w:rsidRPr="00056632">
        <w:t>ambiguous</w:t>
      </w:r>
      <w:r w:rsidR="003A69E1" w:rsidRPr="008E69EF">
        <w:rPr>
          <w:i/>
          <w:iCs/>
        </w:rPr>
        <w:t xml:space="preserve"> </w:t>
      </w:r>
      <w:r w:rsidR="003A69E1" w:rsidRPr="00205E8E">
        <w:t>or obscure</w:t>
      </w:r>
      <w:r w:rsidR="003A69E1">
        <w:t>, to ascertain its meaning; and (c) where the ordinary meaning of the provision</w:t>
      </w:r>
      <w:r w:rsidR="00A446C7">
        <w:t xml:space="preserve"> (in light of its context and purpose)</w:t>
      </w:r>
      <w:r w:rsidR="003A69E1">
        <w:t xml:space="preserve"> leads to a result which is manifestly absurd or unreasonable,</w:t>
      </w:r>
      <w:r w:rsidR="00407212">
        <w:t xml:space="preserve"> also</w:t>
      </w:r>
      <w:r w:rsidR="003A69E1">
        <w:t xml:space="preserve"> to ascertain its meaning</w:t>
      </w:r>
      <w:r>
        <w:t xml:space="preserve">.  </w:t>
      </w:r>
    </w:p>
  </w:footnote>
  <w:footnote w:id="4">
    <w:p w14:paraId="00EE6B1C" w14:textId="77777777" w:rsidR="00842973" w:rsidRPr="00C35CC5" w:rsidRDefault="00842973" w:rsidP="00AD389F">
      <w:pPr>
        <w:pStyle w:val="FootnoteText"/>
        <w:ind w:left="0" w:firstLine="0"/>
      </w:pPr>
      <w:r>
        <w:rPr>
          <w:rStyle w:val="FootnoteReference"/>
        </w:rPr>
        <w:footnoteRef/>
      </w:r>
      <w:r>
        <w:t xml:space="preserve"> </w:t>
      </w:r>
      <w:r w:rsidRPr="00C35CC5">
        <w:t xml:space="preserve">A </w:t>
      </w:r>
      <w:r>
        <w:t>“</w:t>
      </w:r>
      <w:r w:rsidRPr="00C35CC5">
        <w:t>rectifying construction</w:t>
      </w:r>
      <w:r>
        <w:t>”</w:t>
      </w:r>
      <w:r w:rsidRPr="00C35CC5">
        <w:t xml:space="preserve"> </w:t>
      </w:r>
      <w:r>
        <w:t xml:space="preserve">for a statute </w:t>
      </w:r>
      <w:r w:rsidRPr="00C35CC5">
        <w:t xml:space="preserve">involves the addition or substitution of words </w:t>
      </w:r>
      <w:r>
        <w:t xml:space="preserve">in the statute, </w:t>
      </w:r>
      <w:r w:rsidRPr="00C35CC5">
        <w:t>to give effect to Parliament’s intentions.</w:t>
      </w:r>
    </w:p>
  </w:footnote>
  <w:footnote w:id="5">
    <w:p w14:paraId="21CD3883" w14:textId="74DE52D1" w:rsidR="00403873" w:rsidRPr="002B7D48" w:rsidRDefault="00C35CC5" w:rsidP="00AD389F">
      <w:pPr>
        <w:pStyle w:val="FootnoteText"/>
        <w:ind w:left="0" w:firstLine="0"/>
      </w:pPr>
      <w:r>
        <w:rPr>
          <w:rStyle w:val="FootnoteReference"/>
        </w:rPr>
        <w:footnoteRef/>
      </w:r>
      <w:r>
        <w:t xml:space="preserve"> </w:t>
      </w:r>
      <w:r w:rsidRPr="00C35CC5">
        <w:t xml:space="preserve">An </w:t>
      </w:r>
      <w:r w:rsidR="005433A4">
        <w:t>“</w:t>
      </w:r>
      <w:r w:rsidRPr="00C35CC5">
        <w:t>updating construction</w:t>
      </w:r>
      <w:r w:rsidR="005433A4">
        <w:t>”</w:t>
      </w:r>
      <w:r w:rsidRPr="00C35CC5">
        <w:t xml:space="preserve"> </w:t>
      </w:r>
      <w:r w:rsidR="00AC09C6">
        <w:t xml:space="preserve">for a statute </w:t>
      </w:r>
      <w:r w:rsidR="00403873">
        <w:t xml:space="preserve">is based on the assumption that Parliament intends that the court will apply a construction which continually </w:t>
      </w:r>
      <w:r w:rsidRPr="00C35CC5">
        <w:t>updates the wording of the statute</w:t>
      </w:r>
      <w:r w:rsidR="005433A4">
        <w:t>,</w:t>
      </w:r>
      <w:r w:rsidRPr="00C35CC5">
        <w:t xml:space="preserve"> so </w:t>
      </w:r>
      <w:r w:rsidR="005433A4">
        <w:t>that it can apply</w:t>
      </w:r>
      <w:r w:rsidRPr="00C35CC5">
        <w:t xml:space="preserve"> to circumstances</w:t>
      </w:r>
      <w:r w:rsidR="005433A4">
        <w:t xml:space="preserve"> </w:t>
      </w:r>
      <w:r w:rsidRPr="00403873">
        <w:t>as they change</w:t>
      </w:r>
      <w:r w:rsidRPr="00C35CC5">
        <w:t xml:space="preserve"> after the time the statute was initially </w:t>
      </w:r>
      <w:r w:rsidR="00446BC1">
        <w:t>implemented</w:t>
      </w:r>
      <w:r w:rsidRPr="00C35CC5">
        <w:t>.</w:t>
      </w:r>
      <w:r w:rsidR="0040387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342A"/>
    <w:multiLevelType w:val="hybridMultilevel"/>
    <w:tmpl w:val="E466BED8"/>
    <w:lvl w:ilvl="0" w:tplc="B2F845B2">
      <w:start w:val="1"/>
      <w:numFmt w:val="decimal"/>
      <w:lvlText w:val="(%1)"/>
      <w:lvlJc w:val="left"/>
      <w:pPr>
        <w:ind w:left="-1425" w:hanging="360"/>
      </w:pPr>
      <w:rPr>
        <w:rFonts w:hint="default"/>
      </w:rPr>
    </w:lvl>
    <w:lvl w:ilvl="1" w:tplc="48090019" w:tentative="1">
      <w:start w:val="1"/>
      <w:numFmt w:val="lowerLetter"/>
      <w:lvlText w:val="%2."/>
      <w:lvlJc w:val="left"/>
      <w:pPr>
        <w:ind w:left="-705" w:hanging="360"/>
      </w:pPr>
    </w:lvl>
    <w:lvl w:ilvl="2" w:tplc="4809001B" w:tentative="1">
      <w:start w:val="1"/>
      <w:numFmt w:val="lowerRoman"/>
      <w:lvlText w:val="%3."/>
      <w:lvlJc w:val="right"/>
      <w:pPr>
        <w:ind w:left="15" w:hanging="180"/>
      </w:pPr>
    </w:lvl>
    <w:lvl w:ilvl="3" w:tplc="4809000F" w:tentative="1">
      <w:start w:val="1"/>
      <w:numFmt w:val="decimal"/>
      <w:lvlText w:val="%4."/>
      <w:lvlJc w:val="left"/>
      <w:pPr>
        <w:ind w:left="735" w:hanging="360"/>
      </w:pPr>
    </w:lvl>
    <w:lvl w:ilvl="4" w:tplc="48090019" w:tentative="1">
      <w:start w:val="1"/>
      <w:numFmt w:val="lowerLetter"/>
      <w:lvlText w:val="%5."/>
      <w:lvlJc w:val="left"/>
      <w:pPr>
        <w:ind w:left="1455" w:hanging="360"/>
      </w:pPr>
    </w:lvl>
    <w:lvl w:ilvl="5" w:tplc="4809001B" w:tentative="1">
      <w:start w:val="1"/>
      <w:numFmt w:val="lowerRoman"/>
      <w:lvlText w:val="%6."/>
      <w:lvlJc w:val="right"/>
      <w:pPr>
        <w:ind w:left="2175" w:hanging="180"/>
      </w:pPr>
    </w:lvl>
    <w:lvl w:ilvl="6" w:tplc="4809000F" w:tentative="1">
      <w:start w:val="1"/>
      <w:numFmt w:val="decimal"/>
      <w:lvlText w:val="%7."/>
      <w:lvlJc w:val="left"/>
      <w:pPr>
        <w:ind w:left="2895" w:hanging="360"/>
      </w:pPr>
    </w:lvl>
    <w:lvl w:ilvl="7" w:tplc="48090019" w:tentative="1">
      <w:start w:val="1"/>
      <w:numFmt w:val="lowerLetter"/>
      <w:lvlText w:val="%8."/>
      <w:lvlJc w:val="left"/>
      <w:pPr>
        <w:ind w:left="3615" w:hanging="360"/>
      </w:pPr>
    </w:lvl>
    <w:lvl w:ilvl="8" w:tplc="4809001B" w:tentative="1">
      <w:start w:val="1"/>
      <w:numFmt w:val="lowerRoman"/>
      <w:lvlText w:val="%9."/>
      <w:lvlJc w:val="right"/>
      <w:pPr>
        <w:ind w:left="4335" w:hanging="180"/>
      </w:pPr>
    </w:lvl>
  </w:abstractNum>
  <w:abstractNum w:abstractNumId="1" w15:restartNumberingAfterBreak="0">
    <w:nsid w:val="09262FDB"/>
    <w:multiLevelType w:val="hybridMultilevel"/>
    <w:tmpl w:val="548014D4"/>
    <w:lvl w:ilvl="0" w:tplc="7E1461EE">
      <w:start w:val="1"/>
      <w:numFmt w:val="lowerRoman"/>
      <w:lvlText w:val="(%1)"/>
      <w:lvlJc w:val="left"/>
      <w:pPr>
        <w:ind w:left="720" w:hanging="360"/>
      </w:pPr>
      <w:rPr>
        <w:rFonts w:ascii="Times New Roman" w:eastAsiaTheme="minorHAnsi" w:hAnsi="Times New Roman"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ED0A0A"/>
    <w:multiLevelType w:val="hybridMultilevel"/>
    <w:tmpl w:val="CB9A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3A18"/>
    <w:multiLevelType w:val="hybridMultilevel"/>
    <w:tmpl w:val="53404E86"/>
    <w:lvl w:ilvl="0" w:tplc="8A1CB77A">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0C77502D"/>
    <w:multiLevelType w:val="hybridMultilevel"/>
    <w:tmpl w:val="24C89550"/>
    <w:lvl w:ilvl="0" w:tplc="08090001">
      <w:start w:val="1"/>
      <w:numFmt w:val="bullet"/>
      <w:lvlText w:val=""/>
      <w:lvlJc w:val="left"/>
      <w:pPr>
        <w:ind w:left="717" w:hanging="360"/>
      </w:pPr>
      <w:rPr>
        <w:rFonts w:ascii="Symbol" w:hAnsi="Symbol" w:hint="default"/>
      </w:rPr>
    </w:lvl>
    <w:lvl w:ilvl="1" w:tplc="48090019" w:tentative="1">
      <w:start w:val="1"/>
      <w:numFmt w:val="lowerLetter"/>
      <w:lvlText w:val="%2."/>
      <w:lvlJc w:val="left"/>
      <w:pPr>
        <w:ind w:left="1437" w:hanging="360"/>
      </w:pPr>
    </w:lvl>
    <w:lvl w:ilvl="2" w:tplc="4809001B" w:tentative="1">
      <w:start w:val="1"/>
      <w:numFmt w:val="lowerRoman"/>
      <w:lvlText w:val="%3."/>
      <w:lvlJc w:val="right"/>
      <w:pPr>
        <w:ind w:left="2157" w:hanging="180"/>
      </w:pPr>
    </w:lvl>
    <w:lvl w:ilvl="3" w:tplc="4809000F" w:tentative="1">
      <w:start w:val="1"/>
      <w:numFmt w:val="decimal"/>
      <w:lvlText w:val="%4."/>
      <w:lvlJc w:val="left"/>
      <w:pPr>
        <w:ind w:left="2877" w:hanging="360"/>
      </w:pPr>
    </w:lvl>
    <w:lvl w:ilvl="4" w:tplc="48090019" w:tentative="1">
      <w:start w:val="1"/>
      <w:numFmt w:val="lowerLetter"/>
      <w:lvlText w:val="%5."/>
      <w:lvlJc w:val="left"/>
      <w:pPr>
        <w:ind w:left="3597" w:hanging="360"/>
      </w:pPr>
    </w:lvl>
    <w:lvl w:ilvl="5" w:tplc="4809001B" w:tentative="1">
      <w:start w:val="1"/>
      <w:numFmt w:val="lowerRoman"/>
      <w:lvlText w:val="%6."/>
      <w:lvlJc w:val="right"/>
      <w:pPr>
        <w:ind w:left="4317" w:hanging="180"/>
      </w:pPr>
    </w:lvl>
    <w:lvl w:ilvl="6" w:tplc="4809000F" w:tentative="1">
      <w:start w:val="1"/>
      <w:numFmt w:val="decimal"/>
      <w:lvlText w:val="%7."/>
      <w:lvlJc w:val="left"/>
      <w:pPr>
        <w:ind w:left="5037" w:hanging="360"/>
      </w:pPr>
    </w:lvl>
    <w:lvl w:ilvl="7" w:tplc="48090019" w:tentative="1">
      <w:start w:val="1"/>
      <w:numFmt w:val="lowerLetter"/>
      <w:lvlText w:val="%8."/>
      <w:lvlJc w:val="left"/>
      <w:pPr>
        <w:ind w:left="5757" w:hanging="360"/>
      </w:pPr>
    </w:lvl>
    <w:lvl w:ilvl="8" w:tplc="4809001B" w:tentative="1">
      <w:start w:val="1"/>
      <w:numFmt w:val="lowerRoman"/>
      <w:lvlText w:val="%9."/>
      <w:lvlJc w:val="right"/>
      <w:pPr>
        <w:ind w:left="6477" w:hanging="180"/>
      </w:pPr>
    </w:lvl>
  </w:abstractNum>
  <w:abstractNum w:abstractNumId="5" w15:restartNumberingAfterBreak="0">
    <w:nsid w:val="0D7B49B3"/>
    <w:multiLevelType w:val="hybridMultilevel"/>
    <w:tmpl w:val="36B2CFEE"/>
    <w:lvl w:ilvl="0" w:tplc="34BA1C7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FC9489A"/>
    <w:multiLevelType w:val="hybridMultilevel"/>
    <w:tmpl w:val="97D435A4"/>
    <w:lvl w:ilvl="0" w:tplc="FE828C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25AFB"/>
    <w:multiLevelType w:val="hybridMultilevel"/>
    <w:tmpl w:val="F78AEBC4"/>
    <w:lvl w:ilvl="0" w:tplc="2480B9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7D778A"/>
    <w:multiLevelType w:val="hybridMultilevel"/>
    <w:tmpl w:val="6EDAFA2A"/>
    <w:lvl w:ilvl="0" w:tplc="D8CEED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968BC"/>
    <w:multiLevelType w:val="hybridMultilevel"/>
    <w:tmpl w:val="E3666106"/>
    <w:lvl w:ilvl="0" w:tplc="E990D632">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18D26BD9"/>
    <w:multiLevelType w:val="hybridMultilevel"/>
    <w:tmpl w:val="3AD4260A"/>
    <w:lvl w:ilvl="0" w:tplc="0924F7BA">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8D47945"/>
    <w:multiLevelType w:val="hybridMultilevel"/>
    <w:tmpl w:val="ACACD9E2"/>
    <w:lvl w:ilvl="0" w:tplc="04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1A07A9F"/>
    <w:multiLevelType w:val="hybridMultilevel"/>
    <w:tmpl w:val="F154D102"/>
    <w:lvl w:ilvl="0" w:tplc="413626A4">
      <w:start w:val="1"/>
      <w:numFmt w:val="lowerLetter"/>
      <w:pStyle w:val="Heading3"/>
      <w:lvlText w:val="(%1)"/>
      <w:lvlJc w:val="left"/>
      <w:pPr>
        <w:ind w:left="717" w:hanging="360"/>
      </w:pPr>
      <w:rPr>
        <w:rFonts w:hint="default"/>
      </w:rPr>
    </w:lvl>
    <w:lvl w:ilvl="1" w:tplc="48090019" w:tentative="1">
      <w:start w:val="1"/>
      <w:numFmt w:val="lowerLetter"/>
      <w:lvlText w:val="%2."/>
      <w:lvlJc w:val="left"/>
      <w:pPr>
        <w:ind w:left="1437" w:hanging="360"/>
      </w:pPr>
    </w:lvl>
    <w:lvl w:ilvl="2" w:tplc="4809001B" w:tentative="1">
      <w:start w:val="1"/>
      <w:numFmt w:val="lowerRoman"/>
      <w:lvlText w:val="%3."/>
      <w:lvlJc w:val="right"/>
      <w:pPr>
        <w:ind w:left="2157" w:hanging="180"/>
      </w:pPr>
    </w:lvl>
    <w:lvl w:ilvl="3" w:tplc="4809000F" w:tentative="1">
      <w:start w:val="1"/>
      <w:numFmt w:val="decimal"/>
      <w:lvlText w:val="%4."/>
      <w:lvlJc w:val="left"/>
      <w:pPr>
        <w:ind w:left="2877" w:hanging="360"/>
      </w:pPr>
    </w:lvl>
    <w:lvl w:ilvl="4" w:tplc="48090019" w:tentative="1">
      <w:start w:val="1"/>
      <w:numFmt w:val="lowerLetter"/>
      <w:lvlText w:val="%5."/>
      <w:lvlJc w:val="left"/>
      <w:pPr>
        <w:ind w:left="3597" w:hanging="360"/>
      </w:pPr>
    </w:lvl>
    <w:lvl w:ilvl="5" w:tplc="4809001B" w:tentative="1">
      <w:start w:val="1"/>
      <w:numFmt w:val="lowerRoman"/>
      <w:lvlText w:val="%6."/>
      <w:lvlJc w:val="right"/>
      <w:pPr>
        <w:ind w:left="4317" w:hanging="180"/>
      </w:pPr>
    </w:lvl>
    <w:lvl w:ilvl="6" w:tplc="4809000F" w:tentative="1">
      <w:start w:val="1"/>
      <w:numFmt w:val="decimal"/>
      <w:lvlText w:val="%7."/>
      <w:lvlJc w:val="left"/>
      <w:pPr>
        <w:ind w:left="5037" w:hanging="360"/>
      </w:pPr>
    </w:lvl>
    <w:lvl w:ilvl="7" w:tplc="48090019" w:tentative="1">
      <w:start w:val="1"/>
      <w:numFmt w:val="lowerLetter"/>
      <w:lvlText w:val="%8."/>
      <w:lvlJc w:val="left"/>
      <w:pPr>
        <w:ind w:left="5757" w:hanging="360"/>
      </w:pPr>
    </w:lvl>
    <w:lvl w:ilvl="8" w:tplc="4809001B" w:tentative="1">
      <w:start w:val="1"/>
      <w:numFmt w:val="lowerRoman"/>
      <w:lvlText w:val="%9."/>
      <w:lvlJc w:val="right"/>
      <w:pPr>
        <w:ind w:left="6477" w:hanging="180"/>
      </w:pPr>
    </w:lvl>
  </w:abstractNum>
  <w:abstractNum w:abstractNumId="13" w15:restartNumberingAfterBreak="0">
    <w:nsid w:val="35C51240"/>
    <w:multiLevelType w:val="hybridMultilevel"/>
    <w:tmpl w:val="6AF0F558"/>
    <w:lvl w:ilvl="0" w:tplc="D7F08E38">
      <w:numFmt w:val="bullet"/>
      <w:pStyle w:val="Heading5"/>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7992F01"/>
    <w:multiLevelType w:val="hybridMultilevel"/>
    <w:tmpl w:val="4DC29374"/>
    <w:lvl w:ilvl="0" w:tplc="05C2545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005EA"/>
    <w:multiLevelType w:val="hybridMultilevel"/>
    <w:tmpl w:val="F9CCB9C4"/>
    <w:lvl w:ilvl="0" w:tplc="C536265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C14793F"/>
    <w:multiLevelType w:val="hybridMultilevel"/>
    <w:tmpl w:val="90522B18"/>
    <w:lvl w:ilvl="0" w:tplc="AD481F86">
      <w:start w:val="1"/>
      <w:numFmt w:val="upperLetter"/>
      <w:pStyle w:val="Heading2"/>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29B63F2"/>
    <w:multiLevelType w:val="multilevel"/>
    <w:tmpl w:val="E366610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B19432D"/>
    <w:multiLevelType w:val="multilevel"/>
    <w:tmpl w:val="9D1EFDE2"/>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B33B6D"/>
    <w:multiLevelType w:val="hybridMultilevel"/>
    <w:tmpl w:val="0C300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B26733"/>
    <w:multiLevelType w:val="hybridMultilevel"/>
    <w:tmpl w:val="3FA2B4EA"/>
    <w:lvl w:ilvl="0" w:tplc="DEA27A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E4B0E"/>
    <w:multiLevelType w:val="hybridMultilevel"/>
    <w:tmpl w:val="62F6D6AE"/>
    <w:lvl w:ilvl="0" w:tplc="68227AE8">
      <w:start w:val="1"/>
      <w:numFmt w:val="upperRoman"/>
      <w:pStyle w:val="Heading1"/>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9DD16A6"/>
    <w:multiLevelType w:val="hybridMultilevel"/>
    <w:tmpl w:val="6B82EFB2"/>
    <w:lvl w:ilvl="0" w:tplc="3A16A75E">
      <w:start w:val="1"/>
      <w:numFmt w:val="lowerLetter"/>
      <w:lvlText w:val="(%1)"/>
      <w:lvlJc w:val="left"/>
      <w:pPr>
        <w:ind w:left="720" w:hanging="360"/>
      </w:pPr>
      <w:rPr>
        <w:rFonts w:ascii="Times New Roman" w:eastAsiaTheme="minorHAnsi" w:hAnsi="Times New Roman"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E95494"/>
    <w:multiLevelType w:val="hybridMultilevel"/>
    <w:tmpl w:val="247CEE10"/>
    <w:lvl w:ilvl="0" w:tplc="27401BE0">
      <w:start w:val="1"/>
      <w:numFmt w:val="decimal"/>
      <w:pStyle w:val="Heading4"/>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3136D0D"/>
    <w:multiLevelType w:val="hybridMultilevel"/>
    <w:tmpl w:val="579A0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2"/>
  </w:num>
  <w:num w:numId="5">
    <w:abstractNumId w:val="23"/>
  </w:num>
  <w:num w:numId="6">
    <w:abstractNumId w:val="10"/>
  </w:num>
  <w:num w:numId="7">
    <w:abstractNumId w:val="13"/>
  </w:num>
  <w:num w:numId="8">
    <w:abstractNumId w:val="11"/>
  </w:num>
  <w:num w:numId="9">
    <w:abstractNumId w:val="22"/>
  </w:num>
  <w:num w:numId="10">
    <w:abstractNumId w:val="16"/>
  </w:num>
  <w:num w:numId="11">
    <w:abstractNumId w:val="20"/>
  </w:num>
  <w:num w:numId="12">
    <w:abstractNumId w:val="5"/>
  </w:num>
  <w:num w:numId="13">
    <w:abstractNumId w:val="15"/>
  </w:num>
  <w:num w:numId="14">
    <w:abstractNumId w:val="14"/>
  </w:num>
  <w:num w:numId="15">
    <w:abstractNumId w:val="21"/>
  </w:num>
  <w:num w:numId="16">
    <w:abstractNumId w:val="1"/>
  </w:num>
  <w:num w:numId="17">
    <w:abstractNumId w:val="17"/>
  </w:num>
  <w:num w:numId="18">
    <w:abstractNumId w:val="21"/>
  </w:num>
  <w:num w:numId="19">
    <w:abstractNumId w:val="21"/>
  </w:num>
  <w:num w:numId="20">
    <w:abstractNumId w:val="21"/>
  </w:num>
  <w:num w:numId="21">
    <w:abstractNumId w:val="6"/>
  </w:num>
  <w:num w:numId="22">
    <w:abstractNumId w:val="18"/>
  </w:num>
  <w:num w:numId="23">
    <w:abstractNumId w:val="2"/>
  </w:num>
  <w:num w:numId="24">
    <w:abstractNumId w:val="8"/>
  </w:num>
  <w:num w:numId="25">
    <w:abstractNumId w:val="24"/>
  </w:num>
  <w:num w:numId="26">
    <w:abstractNumId w:val="12"/>
  </w:num>
  <w:num w:numId="27">
    <w:abstractNumId w:val="7"/>
  </w:num>
  <w:num w:numId="28">
    <w:abstractNumId w:val="12"/>
    <w:lvlOverride w:ilvl="0">
      <w:startOverride w:val="1"/>
    </w:lvlOverride>
  </w:num>
  <w:num w:numId="29">
    <w:abstractNumId w:val="4"/>
  </w:num>
  <w:num w:numId="30">
    <w:abstractNumId w:val="19"/>
  </w:num>
  <w:num w:numId="31">
    <w:abstractNumId w:val="1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9349AA"/>
    <w:rsid w:val="00000251"/>
    <w:rsid w:val="000005F4"/>
    <w:rsid w:val="00001278"/>
    <w:rsid w:val="00007A2E"/>
    <w:rsid w:val="00010F18"/>
    <w:rsid w:val="0001143A"/>
    <w:rsid w:val="0001189E"/>
    <w:rsid w:val="00011ADD"/>
    <w:rsid w:val="0001343C"/>
    <w:rsid w:val="000147B3"/>
    <w:rsid w:val="0001690C"/>
    <w:rsid w:val="00017537"/>
    <w:rsid w:val="00017928"/>
    <w:rsid w:val="000200B6"/>
    <w:rsid w:val="00020D55"/>
    <w:rsid w:val="000227CD"/>
    <w:rsid w:val="00022EF5"/>
    <w:rsid w:val="000247D5"/>
    <w:rsid w:val="00025F83"/>
    <w:rsid w:val="0002697A"/>
    <w:rsid w:val="000274A7"/>
    <w:rsid w:val="00031BD8"/>
    <w:rsid w:val="00032D37"/>
    <w:rsid w:val="00032FB4"/>
    <w:rsid w:val="00033781"/>
    <w:rsid w:val="00035871"/>
    <w:rsid w:val="000371D6"/>
    <w:rsid w:val="00037400"/>
    <w:rsid w:val="00037A93"/>
    <w:rsid w:val="00040CEA"/>
    <w:rsid w:val="0004195A"/>
    <w:rsid w:val="0004428B"/>
    <w:rsid w:val="00044BD5"/>
    <w:rsid w:val="00044CE1"/>
    <w:rsid w:val="000466C0"/>
    <w:rsid w:val="00050352"/>
    <w:rsid w:val="000506DF"/>
    <w:rsid w:val="0005322C"/>
    <w:rsid w:val="00053BE4"/>
    <w:rsid w:val="00053F13"/>
    <w:rsid w:val="000563A3"/>
    <w:rsid w:val="00056632"/>
    <w:rsid w:val="00056B54"/>
    <w:rsid w:val="00056B8D"/>
    <w:rsid w:val="000603E5"/>
    <w:rsid w:val="0006076D"/>
    <w:rsid w:val="00062C5C"/>
    <w:rsid w:val="000634BF"/>
    <w:rsid w:val="00063DC3"/>
    <w:rsid w:val="00065E0E"/>
    <w:rsid w:val="00066034"/>
    <w:rsid w:val="00073D42"/>
    <w:rsid w:val="00073FB3"/>
    <w:rsid w:val="000741C3"/>
    <w:rsid w:val="000771EF"/>
    <w:rsid w:val="0008318B"/>
    <w:rsid w:val="00084548"/>
    <w:rsid w:val="00085449"/>
    <w:rsid w:val="000917E1"/>
    <w:rsid w:val="00094EB0"/>
    <w:rsid w:val="000954DF"/>
    <w:rsid w:val="0009577B"/>
    <w:rsid w:val="00096B98"/>
    <w:rsid w:val="00097781"/>
    <w:rsid w:val="00097794"/>
    <w:rsid w:val="000A1E08"/>
    <w:rsid w:val="000A1FFB"/>
    <w:rsid w:val="000B102F"/>
    <w:rsid w:val="000B1E9E"/>
    <w:rsid w:val="000B372D"/>
    <w:rsid w:val="000B675E"/>
    <w:rsid w:val="000C48D6"/>
    <w:rsid w:val="000C5EF5"/>
    <w:rsid w:val="000C66E7"/>
    <w:rsid w:val="000C70BE"/>
    <w:rsid w:val="000C7249"/>
    <w:rsid w:val="000C7487"/>
    <w:rsid w:val="000D2C8D"/>
    <w:rsid w:val="000D527E"/>
    <w:rsid w:val="000D7DAD"/>
    <w:rsid w:val="000E034C"/>
    <w:rsid w:val="000E0A47"/>
    <w:rsid w:val="000E10C9"/>
    <w:rsid w:val="000E3376"/>
    <w:rsid w:val="000E3D7B"/>
    <w:rsid w:val="000F2F26"/>
    <w:rsid w:val="000F34E5"/>
    <w:rsid w:val="000F3552"/>
    <w:rsid w:val="000F406B"/>
    <w:rsid w:val="000F6C85"/>
    <w:rsid w:val="0010110A"/>
    <w:rsid w:val="001029D4"/>
    <w:rsid w:val="00106910"/>
    <w:rsid w:val="001106FE"/>
    <w:rsid w:val="00110F06"/>
    <w:rsid w:val="0011305C"/>
    <w:rsid w:val="00114FD9"/>
    <w:rsid w:val="00115069"/>
    <w:rsid w:val="00115EFA"/>
    <w:rsid w:val="00117592"/>
    <w:rsid w:val="00120604"/>
    <w:rsid w:val="00121F70"/>
    <w:rsid w:val="00122A6B"/>
    <w:rsid w:val="0012356D"/>
    <w:rsid w:val="001238DB"/>
    <w:rsid w:val="00126535"/>
    <w:rsid w:val="00126BDC"/>
    <w:rsid w:val="00131E12"/>
    <w:rsid w:val="001351DC"/>
    <w:rsid w:val="0014335D"/>
    <w:rsid w:val="00143439"/>
    <w:rsid w:val="00145AD2"/>
    <w:rsid w:val="0014608C"/>
    <w:rsid w:val="001467DD"/>
    <w:rsid w:val="00151BB8"/>
    <w:rsid w:val="00152A81"/>
    <w:rsid w:val="00152DC7"/>
    <w:rsid w:val="0015490B"/>
    <w:rsid w:val="00154A04"/>
    <w:rsid w:val="00156D84"/>
    <w:rsid w:val="001578C1"/>
    <w:rsid w:val="00160D74"/>
    <w:rsid w:val="00160DC2"/>
    <w:rsid w:val="0016229F"/>
    <w:rsid w:val="001632F0"/>
    <w:rsid w:val="00164761"/>
    <w:rsid w:val="0016565F"/>
    <w:rsid w:val="001661ED"/>
    <w:rsid w:val="001667E5"/>
    <w:rsid w:val="0017326C"/>
    <w:rsid w:val="00173B27"/>
    <w:rsid w:val="00174583"/>
    <w:rsid w:val="00174E92"/>
    <w:rsid w:val="001765A5"/>
    <w:rsid w:val="00176BD7"/>
    <w:rsid w:val="001812AB"/>
    <w:rsid w:val="00181499"/>
    <w:rsid w:val="00181812"/>
    <w:rsid w:val="00182598"/>
    <w:rsid w:val="00184293"/>
    <w:rsid w:val="00186B88"/>
    <w:rsid w:val="00186C3A"/>
    <w:rsid w:val="001878DA"/>
    <w:rsid w:val="00190A9F"/>
    <w:rsid w:val="00190F3F"/>
    <w:rsid w:val="00192A53"/>
    <w:rsid w:val="00192A72"/>
    <w:rsid w:val="00193696"/>
    <w:rsid w:val="00194C9C"/>
    <w:rsid w:val="001952BC"/>
    <w:rsid w:val="001955D6"/>
    <w:rsid w:val="00196B61"/>
    <w:rsid w:val="0019739E"/>
    <w:rsid w:val="001A0624"/>
    <w:rsid w:val="001A0776"/>
    <w:rsid w:val="001A0F7D"/>
    <w:rsid w:val="001A1CAF"/>
    <w:rsid w:val="001A230E"/>
    <w:rsid w:val="001A24F2"/>
    <w:rsid w:val="001A64BB"/>
    <w:rsid w:val="001A66A3"/>
    <w:rsid w:val="001A6F1D"/>
    <w:rsid w:val="001B0C0E"/>
    <w:rsid w:val="001B1650"/>
    <w:rsid w:val="001B2193"/>
    <w:rsid w:val="001B7AA7"/>
    <w:rsid w:val="001C0684"/>
    <w:rsid w:val="001C0D5B"/>
    <w:rsid w:val="001C2E1D"/>
    <w:rsid w:val="001C4B8E"/>
    <w:rsid w:val="001C59BE"/>
    <w:rsid w:val="001C5BDC"/>
    <w:rsid w:val="001C6522"/>
    <w:rsid w:val="001C6B54"/>
    <w:rsid w:val="001C786C"/>
    <w:rsid w:val="001C7EC0"/>
    <w:rsid w:val="001D0650"/>
    <w:rsid w:val="001D2FA4"/>
    <w:rsid w:val="001D4DCE"/>
    <w:rsid w:val="001D5C5A"/>
    <w:rsid w:val="001E0D6D"/>
    <w:rsid w:val="001E15B3"/>
    <w:rsid w:val="001E2E76"/>
    <w:rsid w:val="001E37FB"/>
    <w:rsid w:val="001E4187"/>
    <w:rsid w:val="001E4DB8"/>
    <w:rsid w:val="001E5941"/>
    <w:rsid w:val="001E7394"/>
    <w:rsid w:val="001E7598"/>
    <w:rsid w:val="001E7EF4"/>
    <w:rsid w:val="001F279D"/>
    <w:rsid w:val="001F56D1"/>
    <w:rsid w:val="001F66B2"/>
    <w:rsid w:val="0020055A"/>
    <w:rsid w:val="00202917"/>
    <w:rsid w:val="002031FF"/>
    <w:rsid w:val="00203A26"/>
    <w:rsid w:val="00205E8E"/>
    <w:rsid w:val="00206606"/>
    <w:rsid w:val="00206C20"/>
    <w:rsid w:val="00207B00"/>
    <w:rsid w:val="00211AD8"/>
    <w:rsid w:val="00212BF8"/>
    <w:rsid w:val="00215CE2"/>
    <w:rsid w:val="002161D2"/>
    <w:rsid w:val="0021727B"/>
    <w:rsid w:val="00217DD6"/>
    <w:rsid w:val="00220824"/>
    <w:rsid w:val="00222759"/>
    <w:rsid w:val="002277F9"/>
    <w:rsid w:val="00230213"/>
    <w:rsid w:val="00231CF9"/>
    <w:rsid w:val="002329B3"/>
    <w:rsid w:val="00234526"/>
    <w:rsid w:val="00236433"/>
    <w:rsid w:val="002403B1"/>
    <w:rsid w:val="00240FFB"/>
    <w:rsid w:val="0024255A"/>
    <w:rsid w:val="00243A55"/>
    <w:rsid w:val="002448C3"/>
    <w:rsid w:val="002540E3"/>
    <w:rsid w:val="00254717"/>
    <w:rsid w:val="002548C6"/>
    <w:rsid w:val="00256819"/>
    <w:rsid w:val="002635D4"/>
    <w:rsid w:val="0026436E"/>
    <w:rsid w:val="00264F03"/>
    <w:rsid w:val="00265AFD"/>
    <w:rsid w:val="00266269"/>
    <w:rsid w:val="00266DA2"/>
    <w:rsid w:val="00267633"/>
    <w:rsid w:val="00267991"/>
    <w:rsid w:val="002708CD"/>
    <w:rsid w:val="00270EF2"/>
    <w:rsid w:val="002712BA"/>
    <w:rsid w:val="00272A7B"/>
    <w:rsid w:val="00272FDF"/>
    <w:rsid w:val="0027565B"/>
    <w:rsid w:val="0027649E"/>
    <w:rsid w:val="002764B3"/>
    <w:rsid w:val="00276A25"/>
    <w:rsid w:val="00276BFF"/>
    <w:rsid w:val="00277421"/>
    <w:rsid w:val="00281058"/>
    <w:rsid w:val="00285C04"/>
    <w:rsid w:val="0028680E"/>
    <w:rsid w:val="00291532"/>
    <w:rsid w:val="002919A9"/>
    <w:rsid w:val="00292ED0"/>
    <w:rsid w:val="00293BF1"/>
    <w:rsid w:val="002947A3"/>
    <w:rsid w:val="002965BD"/>
    <w:rsid w:val="00296DF5"/>
    <w:rsid w:val="002A0349"/>
    <w:rsid w:val="002A2728"/>
    <w:rsid w:val="002A2A1F"/>
    <w:rsid w:val="002A60E5"/>
    <w:rsid w:val="002A775C"/>
    <w:rsid w:val="002A7A1B"/>
    <w:rsid w:val="002A7C6A"/>
    <w:rsid w:val="002B0612"/>
    <w:rsid w:val="002B0E72"/>
    <w:rsid w:val="002B214C"/>
    <w:rsid w:val="002B2C89"/>
    <w:rsid w:val="002B5D42"/>
    <w:rsid w:val="002B7D48"/>
    <w:rsid w:val="002C1EA1"/>
    <w:rsid w:val="002C2F86"/>
    <w:rsid w:val="002C364C"/>
    <w:rsid w:val="002C469F"/>
    <w:rsid w:val="002C5088"/>
    <w:rsid w:val="002C50D1"/>
    <w:rsid w:val="002C6A10"/>
    <w:rsid w:val="002E18C1"/>
    <w:rsid w:val="002E22A3"/>
    <w:rsid w:val="002E3753"/>
    <w:rsid w:val="002E4BF9"/>
    <w:rsid w:val="002E5562"/>
    <w:rsid w:val="002E66A5"/>
    <w:rsid w:val="002F05C3"/>
    <w:rsid w:val="002F1DA9"/>
    <w:rsid w:val="002F35B5"/>
    <w:rsid w:val="002F5DB0"/>
    <w:rsid w:val="002F68D2"/>
    <w:rsid w:val="002F6E66"/>
    <w:rsid w:val="003025A1"/>
    <w:rsid w:val="00303666"/>
    <w:rsid w:val="003039F1"/>
    <w:rsid w:val="003044F2"/>
    <w:rsid w:val="0030505C"/>
    <w:rsid w:val="003059F7"/>
    <w:rsid w:val="0030685B"/>
    <w:rsid w:val="0030798C"/>
    <w:rsid w:val="003110EE"/>
    <w:rsid w:val="00311262"/>
    <w:rsid w:val="00313E93"/>
    <w:rsid w:val="00321816"/>
    <w:rsid w:val="00322FA6"/>
    <w:rsid w:val="00323B46"/>
    <w:rsid w:val="00323BD3"/>
    <w:rsid w:val="00325063"/>
    <w:rsid w:val="0033226E"/>
    <w:rsid w:val="0033279B"/>
    <w:rsid w:val="0033304C"/>
    <w:rsid w:val="003336D6"/>
    <w:rsid w:val="00335E67"/>
    <w:rsid w:val="00337FBE"/>
    <w:rsid w:val="00340A29"/>
    <w:rsid w:val="00340A61"/>
    <w:rsid w:val="00343A26"/>
    <w:rsid w:val="003452E0"/>
    <w:rsid w:val="00346FBA"/>
    <w:rsid w:val="003518A8"/>
    <w:rsid w:val="0035195F"/>
    <w:rsid w:val="00352430"/>
    <w:rsid w:val="00357994"/>
    <w:rsid w:val="00361689"/>
    <w:rsid w:val="00363CA8"/>
    <w:rsid w:val="00364EAA"/>
    <w:rsid w:val="00371641"/>
    <w:rsid w:val="00371666"/>
    <w:rsid w:val="00372498"/>
    <w:rsid w:val="00373AD7"/>
    <w:rsid w:val="00375C52"/>
    <w:rsid w:val="0038050B"/>
    <w:rsid w:val="00382737"/>
    <w:rsid w:val="00384097"/>
    <w:rsid w:val="003854A0"/>
    <w:rsid w:val="003859CD"/>
    <w:rsid w:val="00385C26"/>
    <w:rsid w:val="00390DA0"/>
    <w:rsid w:val="003923F5"/>
    <w:rsid w:val="00397C12"/>
    <w:rsid w:val="003A1623"/>
    <w:rsid w:val="003A255E"/>
    <w:rsid w:val="003A541D"/>
    <w:rsid w:val="003A61E5"/>
    <w:rsid w:val="003A69E1"/>
    <w:rsid w:val="003B1866"/>
    <w:rsid w:val="003B1C54"/>
    <w:rsid w:val="003B2291"/>
    <w:rsid w:val="003B3B07"/>
    <w:rsid w:val="003B4647"/>
    <w:rsid w:val="003B799E"/>
    <w:rsid w:val="003C09BF"/>
    <w:rsid w:val="003C1AE9"/>
    <w:rsid w:val="003C3181"/>
    <w:rsid w:val="003C36F5"/>
    <w:rsid w:val="003C5CDE"/>
    <w:rsid w:val="003C70C0"/>
    <w:rsid w:val="003D60A8"/>
    <w:rsid w:val="003D67C5"/>
    <w:rsid w:val="003E0583"/>
    <w:rsid w:val="003E2BC1"/>
    <w:rsid w:val="003E2C44"/>
    <w:rsid w:val="003E2EA6"/>
    <w:rsid w:val="003E7A44"/>
    <w:rsid w:val="003F0ABB"/>
    <w:rsid w:val="003F2395"/>
    <w:rsid w:val="003F5D8D"/>
    <w:rsid w:val="003F764C"/>
    <w:rsid w:val="004005B1"/>
    <w:rsid w:val="00400799"/>
    <w:rsid w:val="00400ED3"/>
    <w:rsid w:val="00403873"/>
    <w:rsid w:val="00404D15"/>
    <w:rsid w:val="004050C9"/>
    <w:rsid w:val="00407212"/>
    <w:rsid w:val="004105DF"/>
    <w:rsid w:val="0041124D"/>
    <w:rsid w:val="004142B4"/>
    <w:rsid w:val="004146B2"/>
    <w:rsid w:val="00414D69"/>
    <w:rsid w:val="00420C78"/>
    <w:rsid w:val="004212FF"/>
    <w:rsid w:val="00423F7A"/>
    <w:rsid w:val="00423FE6"/>
    <w:rsid w:val="00425AA2"/>
    <w:rsid w:val="004265C2"/>
    <w:rsid w:val="00426EFB"/>
    <w:rsid w:val="004271F0"/>
    <w:rsid w:val="0043129B"/>
    <w:rsid w:val="00434515"/>
    <w:rsid w:val="00446BC1"/>
    <w:rsid w:val="00450499"/>
    <w:rsid w:val="00450C1C"/>
    <w:rsid w:val="004525D9"/>
    <w:rsid w:val="00453575"/>
    <w:rsid w:val="00454703"/>
    <w:rsid w:val="004568A7"/>
    <w:rsid w:val="00456976"/>
    <w:rsid w:val="00462ECF"/>
    <w:rsid w:val="00467D2D"/>
    <w:rsid w:val="00470408"/>
    <w:rsid w:val="00475530"/>
    <w:rsid w:val="00476637"/>
    <w:rsid w:val="00476895"/>
    <w:rsid w:val="00476985"/>
    <w:rsid w:val="004811B8"/>
    <w:rsid w:val="00482EF5"/>
    <w:rsid w:val="004830C1"/>
    <w:rsid w:val="0048532C"/>
    <w:rsid w:val="004863F1"/>
    <w:rsid w:val="00486F5E"/>
    <w:rsid w:val="004879A5"/>
    <w:rsid w:val="00490AB6"/>
    <w:rsid w:val="00495E36"/>
    <w:rsid w:val="00496376"/>
    <w:rsid w:val="00496928"/>
    <w:rsid w:val="00497999"/>
    <w:rsid w:val="004A11E5"/>
    <w:rsid w:val="004A1909"/>
    <w:rsid w:val="004A26BD"/>
    <w:rsid w:val="004A36F0"/>
    <w:rsid w:val="004A436A"/>
    <w:rsid w:val="004A4C2E"/>
    <w:rsid w:val="004A63F1"/>
    <w:rsid w:val="004B02CA"/>
    <w:rsid w:val="004B0723"/>
    <w:rsid w:val="004B474C"/>
    <w:rsid w:val="004B4AF4"/>
    <w:rsid w:val="004B7262"/>
    <w:rsid w:val="004B728F"/>
    <w:rsid w:val="004B7E6F"/>
    <w:rsid w:val="004C0622"/>
    <w:rsid w:val="004C0897"/>
    <w:rsid w:val="004C203B"/>
    <w:rsid w:val="004C63BE"/>
    <w:rsid w:val="004C64DA"/>
    <w:rsid w:val="004C71F8"/>
    <w:rsid w:val="004D0AF7"/>
    <w:rsid w:val="004D1C45"/>
    <w:rsid w:val="004D3F2C"/>
    <w:rsid w:val="004D73D8"/>
    <w:rsid w:val="004E079B"/>
    <w:rsid w:val="004E0EEC"/>
    <w:rsid w:val="004E3088"/>
    <w:rsid w:val="004E354A"/>
    <w:rsid w:val="004E5A86"/>
    <w:rsid w:val="004E7AA6"/>
    <w:rsid w:val="004F00A5"/>
    <w:rsid w:val="004F0E29"/>
    <w:rsid w:val="004F65F0"/>
    <w:rsid w:val="00500D94"/>
    <w:rsid w:val="00500EE5"/>
    <w:rsid w:val="0050453B"/>
    <w:rsid w:val="00506128"/>
    <w:rsid w:val="00506845"/>
    <w:rsid w:val="00510810"/>
    <w:rsid w:val="0051254D"/>
    <w:rsid w:val="0051590A"/>
    <w:rsid w:val="00517437"/>
    <w:rsid w:val="00520361"/>
    <w:rsid w:val="0052587B"/>
    <w:rsid w:val="005259A8"/>
    <w:rsid w:val="00526999"/>
    <w:rsid w:val="005304FD"/>
    <w:rsid w:val="00530685"/>
    <w:rsid w:val="00532644"/>
    <w:rsid w:val="00533AB4"/>
    <w:rsid w:val="005402FA"/>
    <w:rsid w:val="00542F34"/>
    <w:rsid w:val="005433A4"/>
    <w:rsid w:val="00543FBC"/>
    <w:rsid w:val="005461A5"/>
    <w:rsid w:val="00553670"/>
    <w:rsid w:val="005538CB"/>
    <w:rsid w:val="00553E1E"/>
    <w:rsid w:val="0055701F"/>
    <w:rsid w:val="00560784"/>
    <w:rsid w:val="00560E80"/>
    <w:rsid w:val="00561255"/>
    <w:rsid w:val="0056512A"/>
    <w:rsid w:val="00565DE0"/>
    <w:rsid w:val="00566540"/>
    <w:rsid w:val="005669A7"/>
    <w:rsid w:val="005677AE"/>
    <w:rsid w:val="00571958"/>
    <w:rsid w:val="00571D6D"/>
    <w:rsid w:val="005725FB"/>
    <w:rsid w:val="00572C24"/>
    <w:rsid w:val="005742B2"/>
    <w:rsid w:val="00574BBB"/>
    <w:rsid w:val="00577202"/>
    <w:rsid w:val="00580367"/>
    <w:rsid w:val="00580F3B"/>
    <w:rsid w:val="005823CE"/>
    <w:rsid w:val="00582D14"/>
    <w:rsid w:val="0058351C"/>
    <w:rsid w:val="005841E5"/>
    <w:rsid w:val="00584655"/>
    <w:rsid w:val="0058507A"/>
    <w:rsid w:val="005858C0"/>
    <w:rsid w:val="00586AFE"/>
    <w:rsid w:val="005902DA"/>
    <w:rsid w:val="00590E4C"/>
    <w:rsid w:val="005915B2"/>
    <w:rsid w:val="00592D54"/>
    <w:rsid w:val="005935EF"/>
    <w:rsid w:val="005959DB"/>
    <w:rsid w:val="005A0E15"/>
    <w:rsid w:val="005A59EC"/>
    <w:rsid w:val="005A6628"/>
    <w:rsid w:val="005A7B4F"/>
    <w:rsid w:val="005A7D1C"/>
    <w:rsid w:val="005A7F21"/>
    <w:rsid w:val="005B2BEA"/>
    <w:rsid w:val="005B351B"/>
    <w:rsid w:val="005B37F9"/>
    <w:rsid w:val="005B586C"/>
    <w:rsid w:val="005B63B3"/>
    <w:rsid w:val="005B7062"/>
    <w:rsid w:val="005B77C3"/>
    <w:rsid w:val="005C42C9"/>
    <w:rsid w:val="005C5651"/>
    <w:rsid w:val="005C7BC7"/>
    <w:rsid w:val="005D1246"/>
    <w:rsid w:val="005D2216"/>
    <w:rsid w:val="005D23AB"/>
    <w:rsid w:val="005D2C04"/>
    <w:rsid w:val="005D2D40"/>
    <w:rsid w:val="005D5700"/>
    <w:rsid w:val="005D5C1B"/>
    <w:rsid w:val="005D6684"/>
    <w:rsid w:val="005E1A4B"/>
    <w:rsid w:val="005E1F63"/>
    <w:rsid w:val="005E3105"/>
    <w:rsid w:val="005E3D4C"/>
    <w:rsid w:val="005F1FAA"/>
    <w:rsid w:val="005F2D26"/>
    <w:rsid w:val="005F39D2"/>
    <w:rsid w:val="005F4BFF"/>
    <w:rsid w:val="005F695A"/>
    <w:rsid w:val="005F6A7C"/>
    <w:rsid w:val="0060053E"/>
    <w:rsid w:val="00601FEF"/>
    <w:rsid w:val="0060454E"/>
    <w:rsid w:val="00604BEC"/>
    <w:rsid w:val="00606093"/>
    <w:rsid w:val="00607DF3"/>
    <w:rsid w:val="00611397"/>
    <w:rsid w:val="00614F6D"/>
    <w:rsid w:val="0062067E"/>
    <w:rsid w:val="006223D8"/>
    <w:rsid w:val="00624C1D"/>
    <w:rsid w:val="00624F3C"/>
    <w:rsid w:val="00626458"/>
    <w:rsid w:val="00630838"/>
    <w:rsid w:val="00631145"/>
    <w:rsid w:val="00634A74"/>
    <w:rsid w:val="00635EB5"/>
    <w:rsid w:val="0063651B"/>
    <w:rsid w:val="00636848"/>
    <w:rsid w:val="00641AE5"/>
    <w:rsid w:val="00645061"/>
    <w:rsid w:val="00647B3B"/>
    <w:rsid w:val="00647D1B"/>
    <w:rsid w:val="0065059E"/>
    <w:rsid w:val="00652E6E"/>
    <w:rsid w:val="006532B5"/>
    <w:rsid w:val="0065348B"/>
    <w:rsid w:val="0065478C"/>
    <w:rsid w:val="0065599E"/>
    <w:rsid w:val="00656E0D"/>
    <w:rsid w:val="0066019F"/>
    <w:rsid w:val="0066059D"/>
    <w:rsid w:val="00661D79"/>
    <w:rsid w:val="006622C3"/>
    <w:rsid w:val="0066278B"/>
    <w:rsid w:val="00662A33"/>
    <w:rsid w:val="00662DF1"/>
    <w:rsid w:val="00665BDD"/>
    <w:rsid w:val="00666A6E"/>
    <w:rsid w:val="00666BAF"/>
    <w:rsid w:val="00667498"/>
    <w:rsid w:val="0066782F"/>
    <w:rsid w:val="006720F5"/>
    <w:rsid w:val="0067260F"/>
    <w:rsid w:val="00673A97"/>
    <w:rsid w:val="00676717"/>
    <w:rsid w:val="00681370"/>
    <w:rsid w:val="00681AEF"/>
    <w:rsid w:val="00681DE3"/>
    <w:rsid w:val="00684FDC"/>
    <w:rsid w:val="00686E03"/>
    <w:rsid w:val="00691011"/>
    <w:rsid w:val="00691EB4"/>
    <w:rsid w:val="00693DB8"/>
    <w:rsid w:val="00694A48"/>
    <w:rsid w:val="006965F7"/>
    <w:rsid w:val="00697158"/>
    <w:rsid w:val="00697ACD"/>
    <w:rsid w:val="006A1167"/>
    <w:rsid w:val="006A3E73"/>
    <w:rsid w:val="006A42DB"/>
    <w:rsid w:val="006A6FF4"/>
    <w:rsid w:val="006A73CC"/>
    <w:rsid w:val="006B06DE"/>
    <w:rsid w:val="006B0989"/>
    <w:rsid w:val="006B2F0D"/>
    <w:rsid w:val="006B40E8"/>
    <w:rsid w:val="006B5D52"/>
    <w:rsid w:val="006C34CA"/>
    <w:rsid w:val="006C51E7"/>
    <w:rsid w:val="006D4317"/>
    <w:rsid w:val="006E0750"/>
    <w:rsid w:val="006E356D"/>
    <w:rsid w:val="006E39C2"/>
    <w:rsid w:val="006E4AFB"/>
    <w:rsid w:val="006F0722"/>
    <w:rsid w:val="006F7A0D"/>
    <w:rsid w:val="0070315A"/>
    <w:rsid w:val="00705168"/>
    <w:rsid w:val="00711F61"/>
    <w:rsid w:val="007166DF"/>
    <w:rsid w:val="00716AA7"/>
    <w:rsid w:val="00717B2D"/>
    <w:rsid w:val="00721AEC"/>
    <w:rsid w:val="00721BCB"/>
    <w:rsid w:val="00721FF7"/>
    <w:rsid w:val="00722B29"/>
    <w:rsid w:val="00722C43"/>
    <w:rsid w:val="00726E90"/>
    <w:rsid w:val="00730365"/>
    <w:rsid w:val="007316A0"/>
    <w:rsid w:val="00735789"/>
    <w:rsid w:val="00735CB9"/>
    <w:rsid w:val="00735F48"/>
    <w:rsid w:val="007408EE"/>
    <w:rsid w:val="0074144F"/>
    <w:rsid w:val="0074209A"/>
    <w:rsid w:val="00747B79"/>
    <w:rsid w:val="007541F0"/>
    <w:rsid w:val="00756B79"/>
    <w:rsid w:val="00760418"/>
    <w:rsid w:val="0076250B"/>
    <w:rsid w:val="00765C85"/>
    <w:rsid w:val="00766CD6"/>
    <w:rsid w:val="007719D1"/>
    <w:rsid w:val="007741F4"/>
    <w:rsid w:val="007806A8"/>
    <w:rsid w:val="007812FD"/>
    <w:rsid w:val="007826C5"/>
    <w:rsid w:val="00783AED"/>
    <w:rsid w:val="00786827"/>
    <w:rsid w:val="00787524"/>
    <w:rsid w:val="00790610"/>
    <w:rsid w:val="0079171D"/>
    <w:rsid w:val="00792020"/>
    <w:rsid w:val="007958F5"/>
    <w:rsid w:val="00795F2B"/>
    <w:rsid w:val="00797D70"/>
    <w:rsid w:val="007A08FC"/>
    <w:rsid w:val="007A0BEB"/>
    <w:rsid w:val="007A33ED"/>
    <w:rsid w:val="007A3633"/>
    <w:rsid w:val="007A6604"/>
    <w:rsid w:val="007A7A2A"/>
    <w:rsid w:val="007B026C"/>
    <w:rsid w:val="007B05E4"/>
    <w:rsid w:val="007B1080"/>
    <w:rsid w:val="007B13EC"/>
    <w:rsid w:val="007B1500"/>
    <w:rsid w:val="007B2DCF"/>
    <w:rsid w:val="007B3473"/>
    <w:rsid w:val="007B4FB0"/>
    <w:rsid w:val="007B5CFD"/>
    <w:rsid w:val="007B5E1F"/>
    <w:rsid w:val="007B6920"/>
    <w:rsid w:val="007C122F"/>
    <w:rsid w:val="007C129A"/>
    <w:rsid w:val="007C1F85"/>
    <w:rsid w:val="007C2315"/>
    <w:rsid w:val="007C3CF2"/>
    <w:rsid w:val="007C46FE"/>
    <w:rsid w:val="007C59CD"/>
    <w:rsid w:val="007C5E92"/>
    <w:rsid w:val="007D127C"/>
    <w:rsid w:val="007D1B21"/>
    <w:rsid w:val="007D3020"/>
    <w:rsid w:val="007D5DCA"/>
    <w:rsid w:val="007D7F6F"/>
    <w:rsid w:val="007E09F0"/>
    <w:rsid w:val="007E140B"/>
    <w:rsid w:val="007E17BF"/>
    <w:rsid w:val="007E386E"/>
    <w:rsid w:val="007E4F4E"/>
    <w:rsid w:val="007E57FA"/>
    <w:rsid w:val="007F2BCE"/>
    <w:rsid w:val="007F2CF3"/>
    <w:rsid w:val="007F5ECE"/>
    <w:rsid w:val="007F7CCC"/>
    <w:rsid w:val="00802EFC"/>
    <w:rsid w:val="008042EC"/>
    <w:rsid w:val="008050A3"/>
    <w:rsid w:val="00807BD3"/>
    <w:rsid w:val="00810495"/>
    <w:rsid w:val="00812BD3"/>
    <w:rsid w:val="008136D8"/>
    <w:rsid w:val="00815976"/>
    <w:rsid w:val="0081644B"/>
    <w:rsid w:val="0082454F"/>
    <w:rsid w:val="00824B20"/>
    <w:rsid w:val="008251CE"/>
    <w:rsid w:val="0082565B"/>
    <w:rsid w:val="008260B1"/>
    <w:rsid w:val="008275CD"/>
    <w:rsid w:val="0082771A"/>
    <w:rsid w:val="00827CD1"/>
    <w:rsid w:val="00831F15"/>
    <w:rsid w:val="00832099"/>
    <w:rsid w:val="00833D2B"/>
    <w:rsid w:val="00833FF4"/>
    <w:rsid w:val="00834023"/>
    <w:rsid w:val="008344B7"/>
    <w:rsid w:val="008348C0"/>
    <w:rsid w:val="00835D30"/>
    <w:rsid w:val="008360DF"/>
    <w:rsid w:val="00836315"/>
    <w:rsid w:val="00836D66"/>
    <w:rsid w:val="00842439"/>
    <w:rsid w:val="00842973"/>
    <w:rsid w:val="008445A1"/>
    <w:rsid w:val="008447E8"/>
    <w:rsid w:val="00850B24"/>
    <w:rsid w:val="008546AC"/>
    <w:rsid w:val="00855355"/>
    <w:rsid w:val="00855802"/>
    <w:rsid w:val="008560C8"/>
    <w:rsid w:val="00856B44"/>
    <w:rsid w:val="008619F6"/>
    <w:rsid w:val="00861E56"/>
    <w:rsid w:val="00862ECD"/>
    <w:rsid w:val="00863030"/>
    <w:rsid w:val="00864FE7"/>
    <w:rsid w:val="008657A2"/>
    <w:rsid w:val="008677F3"/>
    <w:rsid w:val="00870160"/>
    <w:rsid w:val="00872FB3"/>
    <w:rsid w:val="00875D03"/>
    <w:rsid w:val="00877810"/>
    <w:rsid w:val="008832F4"/>
    <w:rsid w:val="0088379E"/>
    <w:rsid w:val="008906EE"/>
    <w:rsid w:val="008940E7"/>
    <w:rsid w:val="0089640E"/>
    <w:rsid w:val="008A0259"/>
    <w:rsid w:val="008A0E61"/>
    <w:rsid w:val="008A4A10"/>
    <w:rsid w:val="008A7431"/>
    <w:rsid w:val="008B3280"/>
    <w:rsid w:val="008B5DF8"/>
    <w:rsid w:val="008B7F14"/>
    <w:rsid w:val="008C0596"/>
    <w:rsid w:val="008C182B"/>
    <w:rsid w:val="008C5FAB"/>
    <w:rsid w:val="008D007D"/>
    <w:rsid w:val="008D3267"/>
    <w:rsid w:val="008D44E2"/>
    <w:rsid w:val="008D4971"/>
    <w:rsid w:val="008D5EAB"/>
    <w:rsid w:val="008D6350"/>
    <w:rsid w:val="008E106F"/>
    <w:rsid w:val="008E384C"/>
    <w:rsid w:val="008E39FF"/>
    <w:rsid w:val="008E69EF"/>
    <w:rsid w:val="008E6C6E"/>
    <w:rsid w:val="008E71B8"/>
    <w:rsid w:val="008F03C7"/>
    <w:rsid w:val="008F0B65"/>
    <w:rsid w:val="008F1308"/>
    <w:rsid w:val="008F141F"/>
    <w:rsid w:val="008F16DE"/>
    <w:rsid w:val="008F1D8E"/>
    <w:rsid w:val="008F385B"/>
    <w:rsid w:val="008F50BA"/>
    <w:rsid w:val="008F76B2"/>
    <w:rsid w:val="00905F84"/>
    <w:rsid w:val="009071B2"/>
    <w:rsid w:val="009108C1"/>
    <w:rsid w:val="00911890"/>
    <w:rsid w:val="00912E88"/>
    <w:rsid w:val="009144CB"/>
    <w:rsid w:val="00914971"/>
    <w:rsid w:val="0091499E"/>
    <w:rsid w:val="00915319"/>
    <w:rsid w:val="009162E1"/>
    <w:rsid w:val="0091676E"/>
    <w:rsid w:val="00916C8C"/>
    <w:rsid w:val="00917072"/>
    <w:rsid w:val="009174D1"/>
    <w:rsid w:val="00920B6C"/>
    <w:rsid w:val="009220F5"/>
    <w:rsid w:val="00923790"/>
    <w:rsid w:val="009237D0"/>
    <w:rsid w:val="009242CF"/>
    <w:rsid w:val="00927127"/>
    <w:rsid w:val="009324BC"/>
    <w:rsid w:val="009349AA"/>
    <w:rsid w:val="00936246"/>
    <w:rsid w:val="00941DC8"/>
    <w:rsid w:val="009432D1"/>
    <w:rsid w:val="00943B1E"/>
    <w:rsid w:val="009449A0"/>
    <w:rsid w:val="00945316"/>
    <w:rsid w:val="00946DB7"/>
    <w:rsid w:val="00950BF9"/>
    <w:rsid w:val="009547FC"/>
    <w:rsid w:val="0096003C"/>
    <w:rsid w:val="009613F9"/>
    <w:rsid w:val="00962777"/>
    <w:rsid w:val="009637A8"/>
    <w:rsid w:val="00965220"/>
    <w:rsid w:val="0096740E"/>
    <w:rsid w:val="009725F1"/>
    <w:rsid w:val="00972666"/>
    <w:rsid w:val="00981A31"/>
    <w:rsid w:val="00981F37"/>
    <w:rsid w:val="00983EDE"/>
    <w:rsid w:val="0098449E"/>
    <w:rsid w:val="00984980"/>
    <w:rsid w:val="009925EA"/>
    <w:rsid w:val="009941CB"/>
    <w:rsid w:val="00994F62"/>
    <w:rsid w:val="0099535E"/>
    <w:rsid w:val="00996EE5"/>
    <w:rsid w:val="009A0949"/>
    <w:rsid w:val="009A518E"/>
    <w:rsid w:val="009A5F83"/>
    <w:rsid w:val="009A7007"/>
    <w:rsid w:val="009B0FA3"/>
    <w:rsid w:val="009B17C7"/>
    <w:rsid w:val="009B3584"/>
    <w:rsid w:val="009B3C80"/>
    <w:rsid w:val="009B4084"/>
    <w:rsid w:val="009B5915"/>
    <w:rsid w:val="009B5B18"/>
    <w:rsid w:val="009B6368"/>
    <w:rsid w:val="009B7260"/>
    <w:rsid w:val="009B789D"/>
    <w:rsid w:val="009C0B95"/>
    <w:rsid w:val="009C0E5D"/>
    <w:rsid w:val="009C1EED"/>
    <w:rsid w:val="009C3B45"/>
    <w:rsid w:val="009C3BA9"/>
    <w:rsid w:val="009C3F1E"/>
    <w:rsid w:val="009D09D7"/>
    <w:rsid w:val="009D1DBD"/>
    <w:rsid w:val="009D2AAB"/>
    <w:rsid w:val="009D572B"/>
    <w:rsid w:val="009D668B"/>
    <w:rsid w:val="009D6CD0"/>
    <w:rsid w:val="009D77DD"/>
    <w:rsid w:val="009D7809"/>
    <w:rsid w:val="009D7DB0"/>
    <w:rsid w:val="009E0208"/>
    <w:rsid w:val="009E1E38"/>
    <w:rsid w:val="009E3C83"/>
    <w:rsid w:val="009E62D5"/>
    <w:rsid w:val="009F0744"/>
    <w:rsid w:val="009F0BD9"/>
    <w:rsid w:val="009F4F66"/>
    <w:rsid w:val="009F652C"/>
    <w:rsid w:val="009F6728"/>
    <w:rsid w:val="00A0006B"/>
    <w:rsid w:val="00A01455"/>
    <w:rsid w:val="00A02838"/>
    <w:rsid w:val="00A02F7D"/>
    <w:rsid w:val="00A056C8"/>
    <w:rsid w:val="00A070DD"/>
    <w:rsid w:val="00A108FF"/>
    <w:rsid w:val="00A1158F"/>
    <w:rsid w:val="00A127F4"/>
    <w:rsid w:val="00A13E58"/>
    <w:rsid w:val="00A16DE1"/>
    <w:rsid w:val="00A21893"/>
    <w:rsid w:val="00A220C2"/>
    <w:rsid w:val="00A30EF6"/>
    <w:rsid w:val="00A35A0D"/>
    <w:rsid w:val="00A367A1"/>
    <w:rsid w:val="00A36CD3"/>
    <w:rsid w:val="00A36FE7"/>
    <w:rsid w:val="00A40924"/>
    <w:rsid w:val="00A41A32"/>
    <w:rsid w:val="00A426F2"/>
    <w:rsid w:val="00A43D98"/>
    <w:rsid w:val="00A43FCD"/>
    <w:rsid w:val="00A446C7"/>
    <w:rsid w:val="00A4595B"/>
    <w:rsid w:val="00A4691F"/>
    <w:rsid w:val="00A5149C"/>
    <w:rsid w:val="00A52075"/>
    <w:rsid w:val="00A53D95"/>
    <w:rsid w:val="00A54D68"/>
    <w:rsid w:val="00A561D2"/>
    <w:rsid w:val="00A57EBA"/>
    <w:rsid w:val="00A607E5"/>
    <w:rsid w:val="00A61230"/>
    <w:rsid w:val="00A6190E"/>
    <w:rsid w:val="00A66445"/>
    <w:rsid w:val="00A670F7"/>
    <w:rsid w:val="00A72C0F"/>
    <w:rsid w:val="00A7454E"/>
    <w:rsid w:val="00A75C0C"/>
    <w:rsid w:val="00A7796D"/>
    <w:rsid w:val="00A77B58"/>
    <w:rsid w:val="00A81438"/>
    <w:rsid w:val="00A81B83"/>
    <w:rsid w:val="00A81C61"/>
    <w:rsid w:val="00A83E75"/>
    <w:rsid w:val="00A87BDE"/>
    <w:rsid w:val="00A91F21"/>
    <w:rsid w:val="00A959D7"/>
    <w:rsid w:val="00A969D6"/>
    <w:rsid w:val="00AA0902"/>
    <w:rsid w:val="00AA14FC"/>
    <w:rsid w:val="00AA39EE"/>
    <w:rsid w:val="00AB244F"/>
    <w:rsid w:val="00AB357B"/>
    <w:rsid w:val="00AB4515"/>
    <w:rsid w:val="00AB4ED0"/>
    <w:rsid w:val="00AB629B"/>
    <w:rsid w:val="00AB7410"/>
    <w:rsid w:val="00AB7DD6"/>
    <w:rsid w:val="00AC0218"/>
    <w:rsid w:val="00AC09C6"/>
    <w:rsid w:val="00AC315B"/>
    <w:rsid w:val="00AC355C"/>
    <w:rsid w:val="00AC5709"/>
    <w:rsid w:val="00AC5BF1"/>
    <w:rsid w:val="00AC66B1"/>
    <w:rsid w:val="00AC759B"/>
    <w:rsid w:val="00AC7659"/>
    <w:rsid w:val="00AD3506"/>
    <w:rsid w:val="00AD389F"/>
    <w:rsid w:val="00AD5DDD"/>
    <w:rsid w:val="00AD6A7F"/>
    <w:rsid w:val="00AD7D76"/>
    <w:rsid w:val="00AE0F60"/>
    <w:rsid w:val="00AE32CC"/>
    <w:rsid w:val="00AE3C06"/>
    <w:rsid w:val="00AE4A4A"/>
    <w:rsid w:val="00AE4BF3"/>
    <w:rsid w:val="00AE538F"/>
    <w:rsid w:val="00AE7084"/>
    <w:rsid w:val="00AF1859"/>
    <w:rsid w:val="00AF2170"/>
    <w:rsid w:val="00AF3E23"/>
    <w:rsid w:val="00AF45B4"/>
    <w:rsid w:val="00AF4E08"/>
    <w:rsid w:val="00AF5AA8"/>
    <w:rsid w:val="00B023D2"/>
    <w:rsid w:val="00B0349E"/>
    <w:rsid w:val="00B039B1"/>
    <w:rsid w:val="00B044A0"/>
    <w:rsid w:val="00B06E7D"/>
    <w:rsid w:val="00B129DB"/>
    <w:rsid w:val="00B1413B"/>
    <w:rsid w:val="00B14EC5"/>
    <w:rsid w:val="00B1607A"/>
    <w:rsid w:val="00B16687"/>
    <w:rsid w:val="00B21B5A"/>
    <w:rsid w:val="00B2608E"/>
    <w:rsid w:val="00B265D2"/>
    <w:rsid w:val="00B268C4"/>
    <w:rsid w:val="00B26F76"/>
    <w:rsid w:val="00B27520"/>
    <w:rsid w:val="00B27E86"/>
    <w:rsid w:val="00B347F1"/>
    <w:rsid w:val="00B35307"/>
    <w:rsid w:val="00B368B2"/>
    <w:rsid w:val="00B37EC2"/>
    <w:rsid w:val="00B37FC3"/>
    <w:rsid w:val="00B41257"/>
    <w:rsid w:val="00B41479"/>
    <w:rsid w:val="00B41EE3"/>
    <w:rsid w:val="00B46A50"/>
    <w:rsid w:val="00B54782"/>
    <w:rsid w:val="00B6236D"/>
    <w:rsid w:val="00B63E86"/>
    <w:rsid w:val="00B64EEB"/>
    <w:rsid w:val="00B655F6"/>
    <w:rsid w:val="00B67512"/>
    <w:rsid w:val="00B76F75"/>
    <w:rsid w:val="00B803B7"/>
    <w:rsid w:val="00B90644"/>
    <w:rsid w:val="00B93B93"/>
    <w:rsid w:val="00B960D1"/>
    <w:rsid w:val="00B97E0E"/>
    <w:rsid w:val="00BA2A76"/>
    <w:rsid w:val="00BA364D"/>
    <w:rsid w:val="00BA6854"/>
    <w:rsid w:val="00BB05A8"/>
    <w:rsid w:val="00BB119D"/>
    <w:rsid w:val="00BB20EC"/>
    <w:rsid w:val="00BB3E3E"/>
    <w:rsid w:val="00BB61E4"/>
    <w:rsid w:val="00BB6744"/>
    <w:rsid w:val="00BB7964"/>
    <w:rsid w:val="00BC000D"/>
    <w:rsid w:val="00BC0478"/>
    <w:rsid w:val="00BC2E59"/>
    <w:rsid w:val="00BC30E0"/>
    <w:rsid w:val="00BC4913"/>
    <w:rsid w:val="00BC62B5"/>
    <w:rsid w:val="00BC736D"/>
    <w:rsid w:val="00BD03B6"/>
    <w:rsid w:val="00BD0CC5"/>
    <w:rsid w:val="00BD2A65"/>
    <w:rsid w:val="00BD35F2"/>
    <w:rsid w:val="00BD6551"/>
    <w:rsid w:val="00BD74FF"/>
    <w:rsid w:val="00BE03C7"/>
    <w:rsid w:val="00BE07E4"/>
    <w:rsid w:val="00BE227D"/>
    <w:rsid w:val="00BE4997"/>
    <w:rsid w:val="00BE57F3"/>
    <w:rsid w:val="00BE6D19"/>
    <w:rsid w:val="00BF078B"/>
    <w:rsid w:val="00BF15AA"/>
    <w:rsid w:val="00BF6F45"/>
    <w:rsid w:val="00C0183A"/>
    <w:rsid w:val="00C024C9"/>
    <w:rsid w:val="00C02E5F"/>
    <w:rsid w:val="00C04609"/>
    <w:rsid w:val="00C04748"/>
    <w:rsid w:val="00C06067"/>
    <w:rsid w:val="00C06C47"/>
    <w:rsid w:val="00C10941"/>
    <w:rsid w:val="00C121A1"/>
    <w:rsid w:val="00C14206"/>
    <w:rsid w:val="00C22E81"/>
    <w:rsid w:val="00C232C7"/>
    <w:rsid w:val="00C239E2"/>
    <w:rsid w:val="00C3163D"/>
    <w:rsid w:val="00C31B2F"/>
    <w:rsid w:val="00C345C6"/>
    <w:rsid w:val="00C35CC5"/>
    <w:rsid w:val="00C36655"/>
    <w:rsid w:val="00C367AD"/>
    <w:rsid w:val="00C45F2F"/>
    <w:rsid w:val="00C46071"/>
    <w:rsid w:val="00C46117"/>
    <w:rsid w:val="00C4657D"/>
    <w:rsid w:val="00C46FD5"/>
    <w:rsid w:val="00C47005"/>
    <w:rsid w:val="00C4779F"/>
    <w:rsid w:val="00C50BB0"/>
    <w:rsid w:val="00C5152C"/>
    <w:rsid w:val="00C535EC"/>
    <w:rsid w:val="00C56DE7"/>
    <w:rsid w:val="00C61771"/>
    <w:rsid w:val="00C62856"/>
    <w:rsid w:val="00C63FA6"/>
    <w:rsid w:val="00C64272"/>
    <w:rsid w:val="00C6524B"/>
    <w:rsid w:val="00C66021"/>
    <w:rsid w:val="00C70EAB"/>
    <w:rsid w:val="00C7219D"/>
    <w:rsid w:val="00C77EEB"/>
    <w:rsid w:val="00C80906"/>
    <w:rsid w:val="00C81E3B"/>
    <w:rsid w:val="00C82E30"/>
    <w:rsid w:val="00C84547"/>
    <w:rsid w:val="00C85339"/>
    <w:rsid w:val="00C9037B"/>
    <w:rsid w:val="00C925D2"/>
    <w:rsid w:val="00C93945"/>
    <w:rsid w:val="00C9564E"/>
    <w:rsid w:val="00C96B07"/>
    <w:rsid w:val="00CA1202"/>
    <w:rsid w:val="00CA5231"/>
    <w:rsid w:val="00CA576B"/>
    <w:rsid w:val="00CA774B"/>
    <w:rsid w:val="00CA785A"/>
    <w:rsid w:val="00CA7E71"/>
    <w:rsid w:val="00CB0871"/>
    <w:rsid w:val="00CB1BA1"/>
    <w:rsid w:val="00CB3F93"/>
    <w:rsid w:val="00CB41C4"/>
    <w:rsid w:val="00CB5A3A"/>
    <w:rsid w:val="00CC0470"/>
    <w:rsid w:val="00CC0F46"/>
    <w:rsid w:val="00CC1BE2"/>
    <w:rsid w:val="00CC22DC"/>
    <w:rsid w:val="00CC24B9"/>
    <w:rsid w:val="00CC5670"/>
    <w:rsid w:val="00CC5F7B"/>
    <w:rsid w:val="00CC65EB"/>
    <w:rsid w:val="00CC7069"/>
    <w:rsid w:val="00CD1030"/>
    <w:rsid w:val="00CD1147"/>
    <w:rsid w:val="00CD1811"/>
    <w:rsid w:val="00CD3B3C"/>
    <w:rsid w:val="00CD62B3"/>
    <w:rsid w:val="00CD7664"/>
    <w:rsid w:val="00CE0E9F"/>
    <w:rsid w:val="00CE2704"/>
    <w:rsid w:val="00CE30A3"/>
    <w:rsid w:val="00CE411F"/>
    <w:rsid w:val="00CE5169"/>
    <w:rsid w:val="00CE6700"/>
    <w:rsid w:val="00CF168E"/>
    <w:rsid w:val="00CF3DE8"/>
    <w:rsid w:val="00CF4355"/>
    <w:rsid w:val="00CF4C48"/>
    <w:rsid w:val="00CF5A48"/>
    <w:rsid w:val="00D0317A"/>
    <w:rsid w:val="00D0584E"/>
    <w:rsid w:val="00D05E58"/>
    <w:rsid w:val="00D06CFE"/>
    <w:rsid w:val="00D10B5C"/>
    <w:rsid w:val="00D14544"/>
    <w:rsid w:val="00D16CC9"/>
    <w:rsid w:val="00D20190"/>
    <w:rsid w:val="00D27449"/>
    <w:rsid w:val="00D27A9D"/>
    <w:rsid w:val="00D30C02"/>
    <w:rsid w:val="00D341CD"/>
    <w:rsid w:val="00D346A2"/>
    <w:rsid w:val="00D35FDE"/>
    <w:rsid w:val="00D363A6"/>
    <w:rsid w:val="00D36568"/>
    <w:rsid w:val="00D371AD"/>
    <w:rsid w:val="00D41627"/>
    <w:rsid w:val="00D45061"/>
    <w:rsid w:val="00D51352"/>
    <w:rsid w:val="00D532C5"/>
    <w:rsid w:val="00D53507"/>
    <w:rsid w:val="00D53569"/>
    <w:rsid w:val="00D53571"/>
    <w:rsid w:val="00D538C7"/>
    <w:rsid w:val="00D54965"/>
    <w:rsid w:val="00D55562"/>
    <w:rsid w:val="00D60F56"/>
    <w:rsid w:val="00D62448"/>
    <w:rsid w:val="00D62D3F"/>
    <w:rsid w:val="00D62D78"/>
    <w:rsid w:val="00D71F26"/>
    <w:rsid w:val="00D73FA3"/>
    <w:rsid w:val="00D756D7"/>
    <w:rsid w:val="00D8198C"/>
    <w:rsid w:val="00D8209D"/>
    <w:rsid w:val="00D82C6B"/>
    <w:rsid w:val="00D85F98"/>
    <w:rsid w:val="00D90E71"/>
    <w:rsid w:val="00D949CC"/>
    <w:rsid w:val="00D95BD6"/>
    <w:rsid w:val="00D973A3"/>
    <w:rsid w:val="00D9788E"/>
    <w:rsid w:val="00DA05FF"/>
    <w:rsid w:val="00DA6AB9"/>
    <w:rsid w:val="00DA79D0"/>
    <w:rsid w:val="00DB2040"/>
    <w:rsid w:val="00DB3391"/>
    <w:rsid w:val="00DB76C7"/>
    <w:rsid w:val="00DC1810"/>
    <w:rsid w:val="00DC226E"/>
    <w:rsid w:val="00DC2545"/>
    <w:rsid w:val="00DC50FB"/>
    <w:rsid w:val="00DC60BF"/>
    <w:rsid w:val="00DC6DFB"/>
    <w:rsid w:val="00DD0128"/>
    <w:rsid w:val="00DD5114"/>
    <w:rsid w:val="00DD62A0"/>
    <w:rsid w:val="00DD64CD"/>
    <w:rsid w:val="00DD7996"/>
    <w:rsid w:val="00DE0AF2"/>
    <w:rsid w:val="00DE1977"/>
    <w:rsid w:val="00DE3E31"/>
    <w:rsid w:val="00DE5F0F"/>
    <w:rsid w:val="00DE65C6"/>
    <w:rsid w:val="00DE7381"/>
    <w:rsid w:val="00DE7C35"/>
    <w:rsid w:val="00DF0A18"/>
    <w:rsid w:val="00DF2EDC"/>
    <w:rsid w:val="00DF4A2D"/>
    <w:rsid w:val="00DF72AA"/>
    <w:rsid w:val="00DF7B1E"/>
    <w:rsid w:val="00E01463"/>
    <w:rsid w:val="00E0156D"/>
    <w:rsid w:val="00E0201D"/>
    <w:rsid w:val="00E032E1"/>
    <w:rsid w:val="00E04414"/>
    <w:rsid w:val="00E1109C"/>
    <w:rsid w:val="00E11B61"/>
    <w:rsid w:val="00E11D29"/>
    <w:rsid w:val="00E1311C"/>
    <w:rsid w:val="00E137E5"/>
    <w:rsid w:val="00E157B3"/>
    <w:rsid w:val="00E161CE"/>
    <w:rsid w:val="00E21434"/>
    <w:rsid w:val="00E21A9C"/>
    <w:rsid w:val="00E305F8"/>
    <w:rsid w:val="00E30F19"/>
    <w:rsid w:val="00E348FD"/>
    <w:rsid w:val="00E43E74"/>
    <w:rsid w:val="00E4531F"/>
    <w:rsid w:val="00E4561E"/>
    <w:rsid w:val="00E508B0"/>
    <w:rsid w:val="00E545C0"/>
    <w:rsid w:val="00E55234"/>
    <w:rsid w:val="00E6417B"/>
    <w:rsid w:val="00E66072"/>
    <w:rsid w:val="00E67300"/>
    <w:rsid w:val="00E677EA"/>
    <w:rsid w:val="00E755B8"/>
    <w:rsid w:val="00E761B0"/>
    <w:rsid w:val="00E766A6"/>
    <w:rsid w:val="00E76ACD"/>
    <w:rsid w:val="00E80E3D"/>
    <w:rsid w:val="00E859CC"/>
    <w:rsid w:val="00E91F65"/>
    <w:rsid w:val="00E9397C"/>
    <w:rsid w:val="00E96F6A"/>
    <w:rsid w:val="00E97335"/>
    <w:rsid w:val="00E9738D"/>
    <w:rsid w:val="00E97E36"/>
    <w:rsid w:val="00EA0401"/>
    <w:rsid w:val="00EA0A91"/>
    <w:rsid w:val="00EA24BA"/>
    <w:rsid w:val="00EA2C70"/>
    <w:rsid w:val="00EA4059"/>
    <w:rsid w:val="00EA4D91"/>
    <w:rsid w:val="00EA55A3"/>
    <w:rsid w:val="00EA55D1"/>
    <w:rsid w:val="00EA7EDD"/>
    <w:rsid w:val="00EB1856"/>
    <w:rsid w:val="00EB19E2"/>
    <w:rsid w:val="00EB58BA"/>
    <w:rsid w:val="00EB660F"/>
    <w:rsid w:val="00EB6619"/>
    <w:rsid w:val="00EB7F2D"/>
    <w:rsid w:val="00EC090D"/>
    <w:rsid w:val="00EC1203"/>
    <w:rsid w:val="00EC250C"/>
    <w:rsid w:val="00EC3DE8"/>
    <w:rsid w:val="00EC49CC"/>
    <w:rsid w:val="00ED03C7"/>
    <w:rsid w:val="00ED23FC"/>
    <w:rsid w:val="00ED3A4F"/>
    <w:rsid w:val="00ED3AE1"/>
    <w:rsid w:val="00ED49A9"/>
    <w:rsid w:val="00ED4A75"/>
    <w:rsid w:val="00ED618B"/>
    <w:rsid w:val="00EE1466"/>
    <w:rsid w:val="00EE3303"/>
    <w:rsid w:val="00EE3A7B"/>
    <w:rsid w:val="00EE3BBE"/>
    <w:rsid w:val="00EE7563"/>
    <w:rsid w:val="00EE7C88"/>
    <w:rsid w:val="00EF0A42"/>
    <w:rsid w:val="00EF17CD"/>
    <w:rsid w:val="00EF2039"/>
    <w:rsid w:val="00EF391E"/>
    <w:rsid w:val="00EF4B89"/>
    <w:rsid w:val="00EF5906"/>
    <w:rsid w:val="00EF705A"/>
    <w:rsid w:val="00F003AF"/>
    <w:rsid w:val="00F03118"/>
    <w:rsid w:val="00F04C1F"/>
    <w:rsid w:val="00F04C58"/>
    <w:rsid w:val="00F0540A"/>
    <w:rsid w:val="00F11143"/>
    <w:rsid w:val="00F11C13"/>
    <w:rsid w:val="00F138F5"/>
    <w:rsid w:val="00F14DC2"/>
    <w:rsid w:val="00F156AB"/>
    <w:rsid w:val="00F16078"/>
    <w:rsid w:val="00F1701C"/>
    <w:rsid w:val="00F17A2F"/>
    <w:rsid w:val="00F21996"/>
    <w:rsid w:val="00F24500"/>
    <w:rsid w:val="00F253CF"/>
    <w:rsid w:val="00F25747"/>
    <w:rsid w:val="00F25EF7"/>
    <w:rsid w:val="00F30002"/>
    <w:rsid w:val="00F3117E"/>
    <w:rsid w:val="00F314E3"/>
    <w:rsid w:val="00F347CA"/>
    <w:rsid w:val="00F34EF1"/>
    <w:rsid w:val="00F3664A"/>
    <w:rsid w:val="00F374EC"/>
    <w:rsid w:val="00F379F8"/>
    <w:rsid w:val="00F4790F"/>
    <w:rsid w:val="00F54766"/>
    <w:rsid w:val="00F5500F"/>
    <w:rsid w:val="00F57E87"/>
    <w:rsid w:val="00F624C0"/>
    <w:rsid w:val="00F62607"/>
    <w:rsid w:val="00F6353C"/>
    <w:rsid w:val="00F67406"/>
    <w:rsid w:val="00F67974"/>
    <w:rsid w:val="00F67CDD"/>
    <w:rsid w:val="00F70F7A"/>
    <w:rsid w:val="00F72112"/>
    <w:rsid w:val="00F7294F"/>
    <w:rsid w:val="00F776B5"/>
    <w:rsid w:val="00F77A12"/>
    <w:rsid w:val="00F817CD"/>
    <w:rsid w:val="00F8382A"/>
    <w:rsid w:val="00F842D4"/>
    <w:rsid w:val="00F8556B"/>
    <w:rsid w:val="00F871C6"/>
    <w:rsid w:val="00F87525"/>
    <w:rsid w:val="00F87B55"/>
    <w:rsid w:val="00F9194B"/>
    <w:rsid w:val="00F92063"/>
    <w:rsid w:val="00F94370"/>
    <w:rsid w:val="00F94CDC"/>
    <w:rsid w:val="00FA2E6A"/>
    <w:rsid w:val="00FA3CA5"/>
    <w:rsid w:val="00FB1525"/>
    <w:rsid w:val="00FB1611"/>
    <w:rsid w:val="00FB18F8"/>
    <w:rsid w:val="00FB2EC6"/>
    <w:rsid w:val="00FB4F1A"/>
    <w:rsid w:val="00FB5053"/>
    <w:rsid w:val="00FC2BAB"/>
    <w:rsid w:val="00FC3B85"/>
    <w:rsid w:val="00FC5A65"/>
    <w:rsid w:val="00FC66ED"/>
    <w:rsid w:val="00FD0219"/>
    <w:rsid w:val="00FD0D93"/>
    <w:rsid w:val="00FD1763"/>
    <w:rsid w:val="00FD1927"/>
    <w:rsid w:val="00FD340B"/>
    <w:rsid w:val="00FD366F"/>
    <w:rsid w:val="00FE0AFD"/>
    <w:rsid w:val="00FE5B1D"/>
    <w:rsid w:val="00FF0ECD"/>
    <w:rsid w:val="00FF19E5"/>
    <w:rsid w:val="00FF66C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9441"/>
  <w15:chartTrackingRefBased/>
  <w15:docId w15:val="{35665B10-1EC5-475A-A43A-A9075DF1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080"/>
    <w:pPr>
      <w:contextualSpacing/>
    </w:pPr>
    <w:rPr>
      <w:rFonts w:ascii="Times New Roman" w:hAnsi="Times New Roman"/>
      <w:sz w:val="24"/>
    </w:rPr>
  </w:style>
  <w:style w:type="paragraph" w:styleId="Heading1">
    <w:name w:val="heading 1"/>
    <w:basedOn w:val="ListParagraph"/>
    <w:next w:val="Normal"/>
    <w:link w:val="Heading1Char"/>
    <w:uiPriority w:val="9"/>
    <w:qFormat/>
    <w:rsid w:val="0096003C"/>
    <w:pPr>
      <w:numPr>
        <w:numId w:val="15"/>
      </w:numPr>
      <w:outlineLvl w:val="0"/>
    </w:pPr>
    <w:rPr>
      <w:rFonts w:cs="Times New Roman"/>
      <w:b/>
      <w:lang w:val="en-US"/>
    </w:rPr>
  </w:style>
  <w:style w:type="paragraph" w:styleId="Heading2">
    <w:name w:val="heading 2"/>
    <w:basedOn w:val="ListParagraph"/>
    <w:next w:val="Normal"/>
    <w:link w:val="Heading2Char"/>
    <w:uiPriority w:val="9"/>
    <w:unhideWhenUsed/>
    <w:qFormat/>
    <w:rsid w:val="0096003C"/>
    <w:pPr>
      <w:numPr>
        <w:numId w:val="10"/>
      </w:numPr>
      <w:spacing w:line="480" w:lineRule="auto"/>
      <w:ind w:left="360"/>
      <w:jc w:val="both"/>
      <w:outlineLvl w:val="1"/>
    </w:pPr>
    <w:rPr>
      <w:rFonts w:cs="Times New Roman"/>
      <w:b/>
      <w:i/>
    </w:rPr>
  </w:style>
  <w:style w:type="paragraph" w:styleId="Heading3">
    <w:name w:val="heading 3"/>
    <w:basedOn w:val="ListParagraph"/>
    <w:next w:val="Normal"/>
    <w:link w:val="Heading3Char"/>
    <w:uiPriority w:val="9"/>
    <w:unhideWhenUsed/>
    <w:qFormat/>
    <w:rsid w:val="007B1080"/>
    <w:pPr>
      <w:numPr>
        <w:numId w:val="4"/>
      </w:numPr>
      <w:outlineLvl w:val="2"/>
    </w:pPr>
    <w:rPr>
      <w:rFonts w:cs="Times New Roman"/>
      <w:i/>
    </w:rPr>
  </w:style>
  <w:style w:type="paragraph" w:styleId="Heading4">
    <w:name w:val="heading 4"/>
    <w:basedOn w:val="ListParagraph"/>
    <w:next w:val="Normal"/>
    <w:link w:val="Heading4Char"/>
    <w:uiPriority w:val="9"/>
    <w:semiHidden/>
    <w:unhideWhenUsed/>
    <w:qFormat/>
    <w:rsid w:val="007B1080"/>
    <w:pPr>
      <w:numPr>
        <w:numId w:val="5"/>
      </w:numPr>
      <w:ind w:left="1077" w:hanging="720"/>
      <w:outlineLvl w:val="3"/>
    </w:pPr>
    <w:rPr>
      <w:rFonts w:cs="Times New Roman"/>
    </w:rPr>
  </w:style>
  <w:style w:type="paragraph" w:styleId="Heading5">
    <w:name w:val="heading 5"/>
    <w:basedOn w:val="ListParagraph"/>
    <w:next w:val="Normal"/>
    <w:link w:val="Heading5Char"/>
    <w:uiPriority w:val="9"/>
    <w:semiHidden/>
    <w:unhideWhenUsed/>
    <w:qFormat/>
    <w:rsid w:val="007B1080"/>
    <w:pPr>
      <w:numPr>
        <w:numId w:val="7"/>
      </w:numPr>
      <w:ind w:left="1080" w:hanging="720"/>
      <w:outlineLvl w:val="4"/>
    </w:pPr>
    <w:rPr>
      <w:rFonts w:cs="Times New Roman"/>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03C"/>
    <w:rPr>
      <w:rFonts w:ascii="Times New Roman" w:hAnsi="Times New Roman" w:cs="Times New Roman"/>
      <w:b/>
      <w:sz w:val="24"/>
      <w:lang w:val="en-US"/>
    </w:rPr>
  </w:style>
  <w:style w:type="paragraph" w:styleId="ListParagraph">
    <w:name w:val="List Paragraph"/>
    <w:basedOn w:val="Normal"/>
    <w:uiPriority w:val="34"/>
    <w:qFormat/>
    <w:rsid w:val="007B1080"/>
    <w:pPr>
      <w:ind w:hanging="720"/>
    </w:pPr>
  </w:style>
  <w:style w:type="character" w:customStyle="1" w:styleId="Heading2Char">
    <w:name w:val="Heading 2 Char"/>
    <w:basedOn w:val="DefaultParagraphFont"/>
    <w:link w:val="Heading2"/>
    <w:uiPriority w:val="9"/>
    <w:rsid w:val="0096003C"/>
    <w:rPr>
      <w:rFonts w:ascii="Times New Roman" w:hAnsi="Times New Roman" w:cs="Times New Roman"/>
      <w:b/>
      <w:i/>
      <w:sz w:val="24"/>
    </w:rPr>
  </w:style>
  <w:style w:type="character" w:customStyle="1" w:styleId="Heading3Char">
    <w:name w:val="Heading 3 Char"/>
    <w:basedOn w:val="DefaultParagraphFont"/>
    <w:link w:val="Heading3"/>
    <w:uiPriority w:val="9"/>
    <w:rsid w:val="007B1080"/>
    <w:rPr>
      <w:rFonts w:ascii="Times New Roman" w:hAnsi="Times New Roman" w:cs="Times New Roman"/>
      <w:i/>
      <w:sz w:val="24"/>
    </w:rPr>
  </w:style>
  <w:style w:type="character" w:customStyle="1" w:styleId="Heading4Char">
    <w:name w:val="Heading 4 Char"/>
    <w:basedOn w:val="DefaultParagraphFont"/>
    <w:link w:val="Heading4"/>
    <w:uiPriority w:val="9"/>
    <w:semiHidden/>
    <w:rsid w:val="007B1080"/>
    <w:rPr>
      <w:rFonts w:ascii="Times New Roman" w:hAnsi="Times New Roman" w:cs="Times New Roman"/>
      <w:sz w:val="24"/>
    </w:rPr>
  </w:style>
  <w:style w:type="character" w:customStyle="1" w:styleId="Heading5Char">
    <w:name w:val="Heading 5 Char"/>
    <w:basedOn w:val="DefaultParagraphFont"/>
    <w:link w:val="Heading5"/>
    <w:uiPriority w:val="9"/>
    <w:semiHidden/>
    <w:rsid w:val="007B1080"/>
    <w:rPr>
      <w:rFonts w:ascii="Times New Roman" w:hAnsi="Times New Roman" w:cs="Times New Roman"/>
      <w:smallCaps/>
      <w:sz w:val="24"/>
    </w:rPr>
  </w:style>
  <w:style w:type="paragraph" w:styleId="FootnoteText">
    <w:name w:val="footnote text"/>
    <w:basedOn w:val="NoSpacing"/>
    <w:link w:val="FootnoteTextChar"/>
    <w:uiPriority w:val="99"/>
    <w:unhideWhenUsed/>
    <w:qFormat/>
    <w:rsid w:val="007B1080"/>
    <w:pPr>
      <w:jc w:val="both"/>
    </w:pPr>
    <w:rPr>
      <w:rFonts w:cs="Times New Roman"/>
      <w:sz w:val="20"/>
      <w:szCs w:val="20"/>
    </w:rPr>
  </w:style>
  <w:style w:type="character" w:customStyle="1" w:styleId="FootnoteTextChar">
    <w:name w:val="Footnote Text Char"/>
    <w:basedOn w:val="DefaultParagraphFont"/>
    <w:link w:val="FootnoteText"/>
    <w:uiPriority w:val="99"/>
    <w:rsid w:val="007B1080"/>
    <w:rPr>
      <w:rFonts w:ascii="Times New Roman" w:hAnsi="Times New Roman" w:cs="Times New Roman"/>
      <w:sz w:val="20"/>
      <w:szCs w:val="20"/>
    </w:rPr>
  </w:style>
  <w:style w:type="paragraph" w:styleId="NoSpacing">
    <w:name w:val="No Spacing"/>
    <w:uiPriority w:val="1"/>
    <w:qFormat/>
    <w:rsid w:val="007B1080"/>
    <w:pPr>
      <w:spacing w:after="0" w:line="240" w:lineRule="auto"/>
      <w:ind w:left="1077" w:hanging="720"/>
      <w:contextualSpacing/>
    </w:pPr>
    <w:rPr>
      <w:rFonts w:ascii="Times New Roman" w:hAnsi="Times New Roman"/>
      <w:sz w:val="24"/>
    </w:rPr>
  </w:style>
  <w:style w:type="paragraph" w:styleId="Title">
    <w:name w:val="Title"/>
    <w:basedOn w:val="Normal"/>
    <w:next w:val="Normal"/>
    <w:link w:val="TitleChar"/>
    <w:uiPriority w:val="10"/>
    <w:qFormat/>
    <w:rsid w:val="007B1080"/>
    <w:pPr>
      <w:spacing w:line="360" w:lineRule="auto"/>
      <w:ind w:left="357"/>
      <w:jc w:val="center"/>
    </w:pPr>
    <w:rPr>
      <w:rFonts w:cs="Times New Roman"/>
      <w:b/>
      <w:sz w:val="28"/>
    </w:rPr>
  </w:style>
  <w:style w:type="character" w:customStyle="1" w:styleId="TitleChar">
    <w:name w:val="Title Char"/>
    <w:basedOn w:val="DefaultParagraphFont"/>
    <w:link w:val="Title"/>
    <w:uiPriority w:val="10"/>
    <w:rsid w:val="007B1080"/>
    <w:rPr>
      <w:rFonts w:ascii="Times New Roman" w:hAnsi="Times New Roman" w:cs="Times New Roman"/>
      <w:b/>
      <w:sz w:val="28"/>
    </w:rPr>
  </w:style>
  <w:style w:type="paragraph" w:styleId="Subtitle">
    <w:name w:val="Subtitle"/>
    <w:basedOn w:val="Normal"/>
    <w:next w:val="Normal"/>
    <w:link w:val="SubtitleChar"/>
    <w:uiPriority w:val="11"/>
    <w:qFormat/>
    <w:rsid w:val="007B1080"/>
    <w:pPr>
      <w:spacing w:line="360" w:lineRule="auto"/>
      <w:ind w:left="357"/>
      <w:jc w:val="center"/>
    </w:pPr>
    <w:rPr>
      <w:rFonts w:cs="Times New Roman"/>
      <w:b/>
      <w:sz w:val="28"/>
    </w:rPr>
  </w:style>
  <w:style w:type="character" w:customStyle="1" w:styleId="SubtitleChar">
    <w:name w:val="Subtitle Char"/>
    <w:basedOn w:val="DefaultParagraphFont"/>
    <w:link w:val="Subtitle"/>
    <w:uiPriority w:val="11"/>
    <w:rsid w:val="007B1080"/>
    <w:rPr>
      <w:rFonts w:ascii="Times New Roman" w:hAnsi="Times New Roman" w:cs="Times New Roman"/>
      <w:b/>
      <w:sz w:val="28"/>
    </w:rPr>
  </w:style>
  <w:style w:type="paragraph" w:styleId="Quote">
    <w:name w:val="Quote"/>
    <w:basedOn w:val="Normal"/>
    <w:next w:val="Normal"/>
    <w:link w:val="QuoteChar"/>
    <w:uiPriority w:val="29"/>
    <w:qFormat/>
    <w:rsid w:val="007B1080"/>
    <w:pPr>
      <w:spacing w:line="480" w:lineRule="auto"/>
      <w:ind w:left="1077"/>
    </w:pPr>
    <w:rPr>
      <w:rFonts w:cs="Times New Roman"/>
    </w:rPr>
  </w:style>
  <w:style w:type="character" w:customStyle="1" w:styleId="QuoteChar">
    <w:name w:val="Quote Char"/>
    <w:basedOn w:val="DefaultParagraphFont"/>
    <w:link w:val="Quote"/>
    <w:uiPriority w:val="29"/>
    <w:rsid w:val="007B1080"/>
    <w:rPr>
      <w:rFonts w:ascii="Times New Roman" w:hAnsi="Times New Roman" w:cs="Times New Roman"/>
      <w:sz w:val="24"/>
    </w:rPr>
  </w:style>
  <w:style w:type="character" w:styleId="CommentReference">
    <w:name w:val="annotation reference"/>
    <w:basedOn w:val="DefaultParagraphFont"/>
    <w:uiPriority w:val="99"/>
    <w:semiHidden/>
    <w:unhideWhenUsed/>
    <w:rsid w:val="007B1080"/>
    <w:rPr>
      <w:sz w:val="16"/>
      <w:szCs w:val="16"/>
    </w:rPr>
  </w:style>
  <w:style w:type="paragraph" w:styleId="CommentText">
    <w:name w:val="annotation text"/>
    <w:basedOn w:val="Normal"/>
    <w:link w:val="CommentTextChar"/>
    <w:uiPriority w:val="99"/>
    <w:unhideWhenUsed/>
    <w:rsid w:val="007B1080"/>
    <w:pPr>
      <w:spacing w:line="240" w:lineRule="auto"/>
    </w:pPr>
    <w:rPr>
      <w:sz w:val="20"/>
      <w:szCs w:val="20"/>
    </w:rPr>
  </w:style>
  <w:style w:type="character" w:customStyle="1" w:styleId="CommentTextChar">
    <w:name w:val="Comment Text Char"/>
    <w:basedOn w:val="DefaultParagraphFont"/>
    <w:link w:val="CommentText"/>
    <w:uiPriority w:val="99"/>
    <w:rsid w:val="007B108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B1080"/>
    <w:rPr>
      <w:b/>
      <w:bCs/>
    </w:rPr>
  </w:style>
  <w:style w:type="character" w:customStyle="1" w:styleId="CommentSubjectChar">
    <w:name w:val="Comment Subject Char"/>
    <w:basedOn w:val="CommentTextChar"/>
    <w:link w:val="CommentSubject"/>
    <w:uiPriority w:val="99"/>
    <w:semiHidden/>
    <w:rsid w:val="007B1080"/>
    <w:rPr>
      <w:rFonts w:ascii="Times New Roman" w:hAnsi="Times New Roman"/>
      <w:b/>
      <w:bCs/>
      <w:sz w:val="20"/>
      <w:szCs w:val="20"/>
    </w:rPr>
  </w:style>
  <w:style w:type="paragraph" w:styleId="BalloonText">
    <w:name w:val="Balloon Text"/>
    <w:basedOn w:val="Normal"/>
    <w:link w:val="BalloonTextChar"/>
    <w:uiPriority w:val="99"/>
    <w:semiHidden/>
    <w:unhideWhenUsed/>
    <w:rsid w:val="007B1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080"/>
    <w:rPr>
      <w:rFonts w:ascii="Segoe UI" w:hAnsi="Segoe UI" w:cs="Segoe UI"/>
      <w:sz w:val="18"/>
      <w:szCs w:val="18"/>
    </w:rPr>
  </w:style>
  <w:style w:type="character" w:styleId="FootnoteReference">
    <w:name w:val="footnote reference"/>
    <w:basedOn w:val="DefaultParagraphFont"/>
    <w:uiPriority w:val="99"/>
    <w:semiHidden/>
    <w:unhideWhenUsed/>
    <w:rsid w:val="0096003C"/>
    <w:rPr>
      <w:vertAlign w:val="superscript"/>
    </w:rPr>
  </w:style>
  <w:style w:type="paragraph" w:styleId="Revision">
    <w:name w:val="Revision"/>
    <w:hidden/>
    <w:uiPriority w:val="99"/>
    <w:semiHidden/>
    <w:rsid w:val="004B474C"/>
    <w:pPr>
      <w:spacing w:after="0" w:line="240" w:lineRule="auto"/>
    </w:pPr>
    <w:rPr>
      <w:rFonts w:ascii="Times New Roman" w:hAnsi="Times New Roman"/>
      <w:sz w:val="24"/>
    </w:rPr>
  </w:style>
  <w:style w:type="paragraph" w:styleId="Header">
    <w:name w:val="header"/>
    <w:basedOn w:val="Normal"/>
    <w:link w:val="HeaderChar"/>
    <w:uiPriority w:val="99"/>
    <w:unhideWhenUsed/>
    <w:rsid w:val="00E13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7E5"/>
    <w:rPr>
      <w:rFonts w:ascii="Times New Roman" w:hAnsi="Times New Roman"/>
      <w:sz w:val="24"/>
    </w:rPr>
  </w:style>
  <w:style w:type="paragraph" w:styleId="Footer">
    <w:name w:val="footer"/>
    <w:basedOn w:val="Normal"/>
    <w:link w:val="FooterChar"/>
    <w:uiPriority w:val="99"/>
    <w:unhideWhenUsed/>
    <w:rsid w:val="00E13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7E5"/>
    <w:rPr>
      <w:rFonts w:ascii="Times New Roman" w:hAnsi="Times New Roman"/>
      <w:sz w:val="24"/>
    </w:rPr>
  </w:style>
  <w:style w:type="paragraph" w:styleId="NormalWeb">
    <w:name w:val="Normal (Web)"/>
    <w:basedOn w:val="Normal"/>
    <w:uiPriority w:val="99"/>
    <w:semiHidden/>
    <w:unhideWhenUsed/>
    <w:rsid w:val="00403873"/>
    <w:pPr>
      <w:spacing w:before="100" w:beforeAutospacing="1" w:after="100" w:afterAutospacing="1" w:line="240" w:lineRule="auto"/>
      <w:contextualSpacing w:val="0"/>
    </w:pPr>
    <w:rPr>
      <w:rFonts w:eastAsia="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5799">
      <w:bodyDiv w:val="1"/>
      <w:marLeft w:val="0"/>
      <w:marRight w:val="0"/>
      <w:marTop w:val="0"/>
      <w:marBottom w:val="0"/>
      <w:divBdr>
        <w:top w:val="none" w:sz="0" w:space="0" w:color="auto"/>
        <w:left w:val="none" w:sz="0" w:space="0" w:color="auto"/>
        <w:bottom w:val="none" w:sz="0" w:space="0" w:color="auto"/>
        <w:right w:val="none" w:sz="0" w:space="0" w:color="auto"/>
      </w:divBdr>
      <w:divsChild>
        <w:div w:id="127356410">
          <w:marLeft w:val="0"/>
          <w:marRight w:val="0"/>
          <w:marTop w:val="0"/>
          <w:marBottom w:val="0"/>
          <w:divBdr>
            <w:top w:val="none" w:sz="0" w:space="0" w:color="auto"/>
            <w:left w:val="none" w:sz="0" w:space="0" w:color="auto"/>
            <w:bottom w:val="none" w:sz="0" w:space="0" w:color="auto"/>
            <w:right w:val="none" w:sz="0" w:space="0" w:color="auto"/>
          </w:divBdr>
          <w:divsChild>
            <w:div w:id="667099922">
              <w:marLeft w:val="0"/>
              <w:marRight w:val="0"/>
              <w:marTop w:val="0"/>
              <w:marBottom w:val="0"/>
              <w:divBdr>
                <w:top w:val="none" w:sz="0" w:space="0" w:color="auto"/>
                <w:left w:val="none" w:sz="0" w:space="0" w:color="auto"/>
                <w:bottom w:val="none" w:sz="0" w:space="0" w:color="auto"/>
                <w:right w:val="none" w:sz="0" w:space="0" w:color="auto"/>
              </w:divBdr>
              <w:divsChild>
                <w:div w:id="15944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33769">
      <w:bodyDiv w:val="1"/>
      <w:marLeft w:val="0"/>
      <w:marRight w:val="0"/>
      <w:marTop w:val="0"/>
      <w:marBottom w:val="0"/>
      <w:divBdr>
        <w:top w:val="none" w:sz="0" w:space="0" w:color="auto"/>
        <w:left w:val="none" w:sz="0" w:space="0" w:color="auto"/>
        <w:bottom w:val="none" w:sz="0" w:space="0" w:color="auto"/>
        <w:right w:val="none" w:sz="0" w:space="0" w:color="auto"/>
      </w:divBdr>
      <w:divsChild>
        <w:div w:id="173693906">
          <w:marLeft w:val="0"/>
          <w:marRight w:val="0"/>
          <w:marTop w:val="0"/>
          <w:marBottom w:val="0"/>
          <w:divBdr>
            <w:top w:val="none" w:sz="0" w:space="0" w:color="auto"/>
            <w:left w:val="none" w:sz="0" w:space="0" w:color="auto"/>
            <w:bottom w:val="none" w:sz="0" w:space="0" w:color="auto"/>
            <w:right w:val="none" w:sz="0" w:space="0" w:color="auto"/>
          </w:divBdr>
          <w:divsChild>
            <w:div w:id="358705913">
              <w:marLeft w:val="0"/>
              <w:marRight w:val="0"/>
              <w:marTop w:val="0"/>
              <w:marBottom w:val="0"/>
              <w:divBdr>
                <w:top w:val="none" w:sz="0" w:space="0" w:color="auto"/>
                <w:left w:val="none" w:sz="0" w:space="0" w:color="auto"/>
                <w:bottom w:val="none" w:sz="0" w:space="0" w:color="auto"/>
                <w:right w:val="none" w:sz="0" w:space="0" w:color="auto"/>
              </w:divBdr>
              <w:divsChild>
                <w:div w:id="20139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01125">
      <w:bodyDiv w:val="1"/>
      <w:marLeft w:val="0"/>
      <w:marRight w:val="0"/>
      <w:marTop w:val="0"/>
      <w:marBottom w:val="0"/>
      <w:divBdr>
        <w:top w:val="none" w:sz="0" w:space="0" w:color="auto"/>
        <w:left w:val="none" w:sz="0" w:space="0" w:color="auto"/>
        <w:bottom w:val="none" w:sz="0" w:space="0" w:color="auto"/>
        <w:right w:val="none" w:sz="0" w:space="0" w:color="auto"/>
      </w:divBdr>
      <w:divsChild>
        <w:div w:id="448865924">
          <w:marLeft w:val="0"/>
          <w:marRight w:val="0"/>
          <w:marTop w:val="0"/>
          <w:marBottom w:val="0"/>
          <w:divBdr>
            <w:top w:val="none" w:sz="0" w:space="0" w:color="auto"/>
            <w:left w:val="none" w:sz="0" w:space="0" w:color="auto"/>
            <w:bottom w:val="none" w:sz="0" w:space="0" w:color="auto"/>
            <w:right w:val="none" w:sz="0" w:space="0" w:color="auto"/>
          </w:divBdr>
          <w:divsChild>
            <w:div w:id="246499394">
              <w:marLeft w:val="0"/>
              <w:marRight w:val="0"/>
              <w:marTop w:val="0"/>
              <w:marBottom w:val="0"/>
              <w:divBdr>
                <w:top w:val="none" w:sz="0" w:space="0" w:color="auto"/>
                <w:left w:val="none" w:sz="0" w:space="0" w:color="auto"/>
                <w:bottom w:val="none" w:sz="0" w:space="0" w:color="auto"/>
                <w:right w:val="none" w:sz="0" w:space="0" w:color="auto"/>
              </w:divBdr>
              <w:divsChild>
                <w:div w:id="10647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1519">
      <w:bodyDiv w:val="1"/>
      <w:marLeft w:val="0"/>
      <w:marRight w:val="0"/>
      <w:marTop w:val="0"/>
      <w:marBottom w:val="0"/>
      <w:divBdr>
        <w:top w:val="none" w:sz="0" w:space="0" w:color="auto"/>
        <w:left w:val="none" w:sz="0" w:space="0" w:color="auto"/>
        <w:bottom w:val="none" w:sz="0" w:space="0" w:color="auto"/>
        <w:right w:val="none" w:sz="0" w:space="0" w:color="auto"/>
      </w:divBdr>
    </w:div>
    <w:div w:id="954597425">
      <w:bodyDiv w:val="1"/>
      <w:marLeft w:val="0"/>
      <w:marRight w:val="0"/>
      <w:marTop w:val="0"/>
      <w:marBottom w:val="0"/>
      <w:divBdr>
        <w:top w:val="none" w:sz="0" w:space="0" w:color="auto"/>
        <w:left w:val="none" w:sz="0" w:space="0" w:color="auto"/>
        <w:bottom w:val="none" w:sz="0" w:space="0" w:color="auto"/>
        <w:right w:val="none" w:sz="0" w:space="0" w:color="auto"/>
      </w:divBdr>
    </w:div>
    <w:div w:id="1407529515">
      <w:bodyDiv w:val="1"/>
      <w:marLeft w:val="0"/>
      <w:marRight w:val="0"/>
      <w:marTop w:val="0"/>
      <w:marBottom w:val="0"/>
      <w:divBdr>
        <w:top w:val="none" w:sz="0" w:space="0" w:color="auto"/>
        <w:left w:val="none" w:sz="0" w:space="0" w:color="auto"/>
        <w:bottom w:val="none" w:sz="0" w:space="0" w:color="auto"/>
        <w:right w:val="none" w:sz="0" w:space="0" w:color="auto"/>
      </w:divBdr>
      <w:divsChild>
        <w:div w:id="502361253">
          <w:marLeft w:val="0"/>
          <w:marRight w:val="0"/>
          <w:marTop w:val="0"/>
          <w:marBottom w:val="0"/>
          <w:divBdr>
            <w:top w:val="none" w:sz="0" w:space="0" w:color="auto"/>
            <w:left w:val="none" w:sz="0" w:space="0" w:color="auto"/>
            <w:bottom w:val="none" w:sz="0" w:space="0" w:color="auto"/>
            <w:right w:val="none" w:sz="0" w:space="0" w:color="auto"/>
          </w:divBdr>
          <w:divsChild>
            <w:div w:id="1498616867">
              <w:marLeft w:val="0"/>
              <w:marRight w:val="0"/>
              <w:marTop w:val="0"/>
              <w:marBottom w:val="0"/>
              <w:divBdr>
                <w:top w:val="none" w:sz="0" w:space="0" w:color="auto"/>
                <w:left w:val="none" w:sz="0" w:space="0" w:color="auto"/>
                <w:bottom w:val="none" w:sz="0" w:space="0" w:color="auto"/>
                <w:right w:val="none" w:sz="0" w:space="0" w:color="auto"/>
              </w:divBdr>
              <w:divsChild>
                <w:div w:id="1969696857">
                  <w:marLeft w:val="0"/>
                  <w:marRight w:val="0"/>
                  <w:marTop w:val="0"/>
                  <w:marBottom w:val="0"/>
                  <w:divBdr>
                    <w:top w:val="none" w:sz="0" w:space="0" w:color="auto"/>
                    <w:left w:val="none" w:sz="0" w:space="0" w:color="auto"/>
                    <w:bottom w:val="none" w:sz="0" w:space="0" w:color="auto"/>
                    <w:right w:val="none" w:sz="0" w:space="0" w:color="auto"/>
                  </w:divBdr>
                  <w:divsChild>
                    <w:div w:id="1291286479">
                      <w:marLeft w:val="240"/>
                      <w:marRight w:val="150"/>
                      <w:marTop w:val="120"/>
                      <w:marBottom w:val="120"/>
                      <w:divBdr>
                        <w:top w:val="none" w:sz="0" w:space="0" w:color="auto"/>
                        <w:left w:val="none" w:sz="0" w:space="0" w:color="auto"/>
                        <w:bottom w:val="none" w:sz="0" w:space="0" w:color="auto"/>
                        <w:right w:val="none" w:sz="0" w:space="0" w:color="auto"/>
                      </w:divBdr>
                      <w:divsChild>
                        <w:div w:id="714818443">
                          <w:marLeft w:val="855"/>
                          <w:marRight w:val="0"/>
                          <w:marTop w:val="0"/>
                          <w:marBottom w:val="0"/>
                          <w:divBdr>
                            <w:top w:val="none" w:sz="0" w:space="0" w:color="auto"/>
                            <w:left w:val="none" w:sz="0" w:space="0" w:color="auto"/>
                            <w:bottom w:val="none" w:sz="0" w:space="0" w:color="auto"/>
                            <w:right w:val="none" w:sz="0" w:space="0" w:color="auto"/>
                          </w:divBdr>
                          <w:divsChild>
                            <w:div w:id="689993764">
                              <w:marLeft w:val="0"/>
                              <w:marRight w:val="0"/>
                              <w:marTop w:val="0"/>
                              <w:marBottom w:val="0"/>
                              <w:divBdr>
                                <w:top w:val="none" w:sz="0" w:space="0" w:color="auto"/>
                                <w:left w:val="none" w:sz="0" w:space="0" w:color="auto"/>
                                <w:bottom w:val="none" w:sz="0" w:space="0" w:color="auto"/>
                                <w:right w:val="none" w:sz="0" w:space="0" w:color="auto"/>
                              </w:divBdr>
                              <w:divsChild>
                                <w:div w:id="8372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828712">
          <w:marLeft w:val="0"/>
          <w:marRight w:val="0"/>
          <w:marTop w:val="0"/>
          <w:marBottom w:val="0"/>
          <w:divBdr>
            <w:top w:val="none" w:sz="0" w:space="0" w:color="auto"/>
            <w:left w:val="none" w:sz="0" w:space="0" w:color="auto"/>
            <w:bottom w:val="none" w:sz="0" w:space="0" w:color="auto"/>
            <w:right w:val="none" w:sz="0" w:space="0" w:color="auto"/>
          </w:divBdr>
          <w:divsChild>
            <w:div w:id="816342241">
              <w:marLeft w:val="0"/>
              <w:marRight w:val="0"/>
              <w:marTop w:val="0"/>
              <w:marBottom w:val="0"/>
              <w:divBdr>
                <w:top w:val="none" w:sz="0" w:space="0" w:color="auto"/>
                <w:left w:val="none" w:sz="0" w:space="0" w:color="auto"/>
                <w:bottom w:val="none" w:sz="0" w:space="0" w:color="auto"/>
                <w:right w:val="none" w:sz="0" w:space="0" w:color="auto"/>
              </w:divBdr>
              <w:divsChild>
                <w:div w:id="2064985079">
                  <w:marLeft w:val="0"/>
                  <w:marRight w:val="0"/>
                  <w:marTop w:val="0"/>
                  <w:marBottom w:val="0"/>
                  <w:divBdr>
                    <w:top w:val="none" w:sz="0" w:space="0" w:color="auto"/>
                    <w:left w:val="none" w:sz="0" w:space="0" w:color="auto"/>
                    <w:bottom w:val="none" w:sz="0" w:space="0" w:color="auto"/>
                    <w:right w:val="none" w:sz="0" w:space="0" w:color="auto"/>
                  </w:divBdr>
                  <w:divsChild>
                    <w:div w:id="356539028">
                      <w:marLeft w:val="240"/>
                      <w:marRight w:val="150"/>
                      <w:marTop w:val="90"/>
                      <w:marBottom w:val="90"/>
                      <w:divBdr>
                        <w:top w:val="none" w:sz="0" w:space="0" w:color="auto"/>
                        <w:left w:val="none" w:sz="0" w:space="0" w:color="auto"/>
                        <w:bottom w:val="none" w:sz="0" w:space="0" w:color="auto"/>
                        <w:right w:val="none" w:sz="0" w:space="0" w:color="auto"/>
                      </w:divBdr>
                      <w:divsChild>
                        <w:div w:id="1107776368">
                          <w:marLeft w:val="855"/>
                          <w:marRight w:val="0"/>
                          <w:marTop w:val="0"/>
                          <w:marBottom w:val="0"/>
                          <w:divBdr>
                            <w:top w:val="none" w:sz="0" w:space="0" w:color="auto"/>
                            <w:left w:val="none" w:sz="0" w:space="0" w:color="auto"/>
                            <w:bottom w:val="none" w:sz="0" w:space="0" w:color="auto"/>
                            <w:right w:val="none" w:sz="0" w:space="0" w:color="auto"/>
                          </w:divBdr>
                          <w:divsChild>
                            <w:div w:id="7718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300708">
      <w:bodyDiv w:val="1"/>
      <w:marLeft w:val="0"/>
      <w:marRight w:val="0"/>
      <w:marTop w:val="0"/>
      <w:marBottom w:val="0"/>
      <w:divBdr>
        <w:top w:val="none" w:sz="0" w:space="0" w:color="auto"/>
        <w:left w:val="none" w:sz="0" w:space="0" w:color="auto"/>
        <w:bottom w:val="none" w:sz="0" w:space="0" w:color="auto"/>
        <w:right w:val="none" w:sz="0" w:space="0" w:color="auto"/>
      </w:divBdr>
    </w:div>
    <w:div w:id="1757899860">
      <w:bodyDiv w:val="1"/>
      <w:marLeft w:val="0"/>
      <w:marRight w:val="0"/>
      <w:marTop w:val="0"/>
      <w:marBottom w:val="0"/>
      <w:divBdr>
        <w:top w:val="none" w:sz="0" w:space="0" w:color="auto"/>
        <w:left w:val="none" w:sz="0" w:space="0" w:color="auto"/>
        <w:bottom w:val="none" w:sz="0" w:space="0" w:color="auto"/>
        <w:right w:val="none" w:sz="0" w:space="0" w:color="auto"/>
      </w:divBdr>
      <w:divsChild>
        <w:div w:id="506868281">
          <w:marLeft w:val="0"/>
          <w:marRight w:val="0"/>
          <w:marTop w:val="0"/>
          <w:marBottom w:val="0"/>
          <w:divBdr>
            <w:top w:val="none" w:sz="0" w:space="0" w:color="auto"/>
            <w:left w:val="none" w:sz="0" w:space="0" w:color="auto"/>
            <w:bottom w:val="none" w:sz="0" w:space="0" w:color="auto"/>
            <w:right w:val="none" w:sz="0" w:space="0" w:color="auto"/>
          </w:divBdr>
          <w:divsChild>
            <w:div w:id="1157724152">
              <w:marLeft w:val="0"/>
              <w:marRight w:val="0"/>
              <w:marTop w:val="0"/>
              <w:marBottom w:val="0"/>
              <w:divBdr>
                <w:top w:val="none" w:sz="0" w:space="0" w:color="auto"/>
                <w:left w:val="none" w:sz="0" w:space="0" w:color="auto"/>
                <w:bottom w:val="none" w:sz="0" w:space="0" w:color="auto"/>
                <w:right w:val="none" w:sz="0" w:space="0" w:color="auto"/>
              </w:divBdr>
              <w:divsChild>
                <w:div w:id="1831096901">
                  <w:marLeft w:val="0"/>
                  <w:marRight w:val="0"/>
                  <w:marTop w:val="0"/>
                  <w:marBottom w:val="0"/>
                  <w:divBdr>
                    <w:top w:val="none" w:sz="0" w:space="0" w:color="auto"/>
                    <w:left w:val="none" w:sz="0" w:space="0" w:color="auto"/>
                    <w:bottom w:val="none" w:sz="0" w:space="0" w:color="auto"/>
                    <w:right w:val="none" w:sz="0" w:space="0" w:color="auto"/>
                  </w:divBdr>
                  <w:divsChild>
                    <w:div w:id="316036842">
                      <w:marLeft w:val="240"/>
                      <w:marRight w:val="150"/>
                      <w:marTop w:val="120"/>
                      <w:marBottom w:val="120"/>
                      <w:divBdr>
                        <w:top w:val="none" w:sz="0" w:space="0" w:color="auto"/>
                        <w:left w:val="none" w:sz="0" w:space="0" w:color="auto"/>
                        <w:bottom w:val="none" w:sz="0" w:space="0" w:color="auto"/>
                        <w:right w:val="none" w:sz="0" w:space="0" w:color="auto"/>
                      </w:divBdr>
                      <w:divsChild>
                        <w:div w:id="450824053">
                          <w:marLeft w:val="855"/>
                          <w:marRight w:val="0"/>
                          <w:marTop w:val="0"/>
                          <w:marBottom w:val="0"/>
                          <w:divBdr>
                            <w:top w:val="none" w:sz="0" w:space="0" w:color="auto"/>
                            <w:left w:val="none" w:sz="0" w:space="0" w:color="auto"/>
                            <w:bottom w:val="none" w:sz="0" w:space="0" w:color="auto"/>
                            <w:right w:val="none" w:sz="0" w:space="0" w:color="auto"/>
                          </w:divBdr>
                          <w:divsChild>
                            <w:div w:id="1262105050">
                              <w:marLeft w:val="0"/>
                              <w:marRight w:val="0"/>
                              <w:marTop w:val="0"/>
                              <w:marBottom w:val="0"/>
                              <w:divBdr>
                                <w:top w:val="none" w:sz="0" w:space="0" w:color="auto"/>
                                <w:left w:val="none" w:sz="0" w:space="0" w:color="auto"/>
                                <w:bottom w:val="none" w:sz="0" w:space="0" w:color="auto"/>
                                <w:right w:val="none" w:sz="0" w:space="0" w:color="auto"/>
                              </w:divBdr>
                              <w:divsChild>
                                <w:div w:id="6590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736925">
          <w:marLeft w:val="0"/>
          <w:marRight w:val="0"/>
          <w:marTop w:val="0"/>
          <w:marBottom w:val="0"/>
          <w:divBdr>
            <w:top w:val="none" w:sz="0" w:space="0" w:color="auto"/>
            <w:left w:val="none" w:sz="0" w:space="0" w:color="auto"/>
            <w:bottom w:val="none" w:sz="0" w:space="0" w:color="auto"/>
            <w:right w:val="none" w:sz="0" w:space="0" w:color="auto"/>
          </w:divBdr>
          <w:divsChild>
            <w:div w:id="1688872999">
              <w:marLeft w:val="0"/>
              <w:marRight w:val="0"/>
              <w:marTop w:val="0"/>
              <w:marBottom w:val="0"/>
              <w:divBdr>
                <w:top w:val="none" w:sz="0" w:space="0" w:color="auto"/>
                <w:left w:val="none" w:sz="0" w:space="0" w:color="auto"/>
                <w:bottom w:val="none" w:sz="0" w:space="0" w:color="auto"/>
                <w:right w:val="none" w:sz="0" w:space="0" w:color="auto"/>
              </w:divBdr>
              <w:divsChild>
                <w:div w:id="641617988">
                  <w:marLeft w:val="0"/>
                  <w:marRight w:val="0"/>
                  <w:marTop w:val="0"/>
                  <w:marBottom w:val="0"/>
                  <w:divBdr>
                    <w:top w:val="none" w:sz="0" w:space="0" w:color="auto"/>
                    <w:left w:val="none" w:sz="0" w:space="0" w:color="auto"/>
                    <w:bottom w:val="none" w:sz="0" w:space="0" w:color="auto"/>
                    <w:right w:val="none" w:sz="0" w:space="0" w:color="auto"/>
                  </w:divBdr>
                  <w:divsChild>
                    <w:div w:id="13456491">
                      <w:marLeft w:val="240"/>
                      <w:marRight w:val="150"/>
                      <w:marTop w:val="90"/>
                      <w:marBottom w:val="90"/>
                      <w:divBdr>
                        <w:top w:val="none" w:sz="0" w:space="0" w:color="auto"/>
                        <w:left w:val="none" w:sz="0" w:space="0" w:color="auto"/>
                        <w:bottom w:val="none" w:sz="0" w:space="0" w:color="auto"/>
                        <w:right w:val="none" w:sz="0" w:space="0" w:color="auto"/>
                      </w:divBdr>
                      <w:divsChild>
                        <w:div w:id="26220656">
                          <w:marLeft w:val="855"/>
                          <w:marRight w:val="0"/>
                          <w:marTop w:val="0"/>
                          <w:marBottom w:val="0"/>
                          <w:divBdr>
                            <w:top w:val="none" w:sz="0" w:space="0" w:color="auto"/>
                            <w:left w:val="none" w:sz="0" w:space="0" w:color="auto"/>
                            <w:bottom w:val="none" w:sz="0" w:space="0" w:color="auto"/>
                            <w:right w:val="none" w:sz="0" w:space="0" w:color="auto"/>
                          </w:divBdr>
                          <w:divsChild>
                            <w:div w:id="11627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638761">
      <w:bodyDiv w:val="1"/>
      <w:marLeft w:val="0"/>
      <w:marRight w:val="0"/>
      <w:marTop w:val="0"/>
      <w:marBottom w:val="0"/>
      <w:divBdr>
        <w:top w:val="none" w:sz="0" w:space="0" w:color="auto"/>
        <w:left w:val="none" w:sz="0" w:space="0" w:color="auto"/>
        <w:bottom w:val="none" w:sz="0" w:space="0" w:color="auto"/>
        <w:right w:val="none" w:sz="0" w:space="0" w:color="auto"/>
      </w:divBdr>
    </w:div>
    <w:div w:id="2042048324">
      <w:bodyDiv w:val="1"/>
      <w:marLeft w:val="0"/>
      <w:marRight w:val="0"/>
      <w:marTop w:val="0"/>
      <w:marBottom w:val="0"/>
      <w:divBdr>
        <w:top w:val="none" w:sz="0" w:space="0" w:color="auto"/>
        <w:left w:val="none" w:sz="0" w:space="0" w:color="auto"/>
        <w:bottom w:val="none" w:sz="0" w:space="0" w:color="auto"/>
        <w:right w:val="none" w:sz="0" w:space="0" w:color="auto"/>
      </w:divBdr>
      <w:divsChild>
        <w:div w:id="1860386629">
          <w:marLeft w:val="0"/>
          <w:marRight w:val="0"/>
          <w:marTop w:val="0"/>
          <w:marBottom w:val="0"/>
          <w:divBdr>
            <w:top w:val="none" w:sz="0" w:space="0" w:color="auto"/>
            <w:left w:val="none" w:sz="0" w:space="0" w:color="auto"/>
            <w:bottom w:val="none" w:sz="0" w:space="0" w:color="auto"/>
            <w:right w:val="none" w:sz="0" w:space="0" w:color="auto"/>
          </w:divBdr>
          <w:divsChild>
            <w:div w:id="348680740">
              <w:marLeft w:val="0"/>
              <w:marRight w:val="0"/>
              <w:marTop w:val="0"/>
              <w:marBottom w:val="0"/>
              <w:divBdr>
                <w:top w:val="none" w:sz="0" w:space="0" w:color="auto"/>
                <w:left w:val="none" w:sz="0" w:space="0" w:color="auto"/>
                <w:bottom w:val="none" w:sz="0" w:space="0" w:color="auto"/>
                <w:right w:val="none" w:sz="0" w:space="0" w:color="auto"/>
              </w:divBdr>
              <w:divsChild>
                <w:div w:id="10554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2873">
          <w:marLeft w:val="0"/>
          <w:marRight w:val="0"/>
          <w:marTop w:val="0"/>
          <w:marBottom w:val="0"/>
          <w:divBdr>
            <w:top w:val="none" w:sz="0" w:space="0" w:color="auto"/>
            <w:left w:val="none" w:sz="0" w:space="0" w:color="auto"/>
            <w:bottom w:val="none" w:sz="0" w:space="0" w:color="auto"/>
            <w:right w:val="none" w:sz="0" w:space="0" w:color="auto"/>
          </w:divBdr>
          <w:divsChild>
            <w:div w:id="484126763">
              <w:marLeft w:val="0"/>
              <w:marRight w:val="0"/>
              <w:marTop w:val="0"/>
              <w:marBottom w:val="0"/>
              <w:divBdr>
                <w:top w:val="none" w:sz="0" w:space="0" w:color="auto"/>
                <w:left w:val="none" w:sz="0" w:space="0" w:color="auto"/>
                <w:bottom w:val="none" w:sz="0" w:space="0" w:color="auto"/>
                <w:right w:val="none" w:sz="0" w:space="0" w:color="auto"/>
              </w:divBdr>
              <w:divsChild>
                <w:div w:id="11690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Chuan</dc:creator>
  <cp:keywords/>
  <dc:description/>
  <cp:lastModifiedBy>OEI</cp:lastModifiedBy>
  <cp:revision>3</cp:revision>
  <cp:lastPrinted>2019-07-23T09:55:00Z</cp:lastPrinted>
  <dcterms:created xsi:type="dcterms:W3CDTF">2019-07-24T09:21:00Z</dcterms:created>
  <dcterms:modified xsi:type="dcterms:W3CDTF">2019-07-24T09:22:00Z</dcterms:modified>
</cp:coreProperties>
</file>