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4A" w:rsidRDefault="00123E4A" w:rsidP="00123E4A">
      <w:pPr>
        <w:jc w:val="both"/>
        <w:rPr>
          <w:b/>
          <w:bCs/>
        </w:rPr>
      </w:pPr>
      <w:r>
        <w:rPr>
          <w:b/>
          <w:bCs/>
        </w:rPr>
        <w:t>Regardez le reportage et mettez ses idées principales dans l’ordre.</w:t>
      </w:r>
    </w:p>
    <w:p w:rsidR="00123E4A" w:rsidRPr="00971229" w:rsidRDefault="00123E4A" w:rsidP="00123E4A">
      <w:pPr>
        <w:jc w:val="both"/>
        <w:rPr>
          <w:b/>
          <w:bCs/>
        </w:rPr>
      </w:pPr>
    </w:p>
    <w:p w:rsidR="00123E4A" w:rsidRDefault="00123E4A" w:rsidP="00123E4A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.../ Mais tout le monde n’est pas prêt à franchir le pas. </w:t>
      </w:r>
    </w:p>
    <w:p w:rsidR="00123E4A" w:rsidRDefault="00123E4A" w:rsidP="00123E4A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.../ Les pratiques se diffusent sur plus d’objet qu’avant, 10% des Français ont adopté la location.</w:t>
      </w:r>
    </w:p>
    <w:p w:rsidR="00123E4A" w:rsidRDefault="00123E4A" w:rsidP="00123E4A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.../ Une fois louées, les chaussures sont reconditionnées en ateliers et en suite revendues ou relouées et ainsi de suite. </w:t>
      </w:r>
    </w:p>
    <w:p w:rsidR="00123E4A" w:rsidRDefault="00123E4A" w:rsidP="00123E4A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.../ Louer des bijoux plutôt que les acheter, la nouvelle tendance qui séduit en France. </w:t>
      </w:r>
    </w:p>
    <w:p w:rsidR="00123E4A" w:rsidRDefault="00123E4A" w:rsidP="00123E4A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.../ Les objets vivent plusieurs vies, c’est la condition pour que le modèle économique soit rentable.</w:t>
      </w:r>
    </w:p>
    <w:p w:rsidR="00123E4A" w:rsidRDefault="00123E4A" w:rsidP="00123E4A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.../ Les enseignes proposent des bijoux de qualité pour résister à l’usure du temps et des nombreuses locations.</w:t>
      </w:r>
    </w:p>
    <w:p w:rsidR="00A132F8" w:rsidRDefault="00A612E8"/>
    <w:sectPr w:rsidR="00A132F8" w:rsidSect="00123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E8" w:rsidRDefault="00A612E8" w:rsidP="00123E4A">
      <w:pPr>
        <w:spacing w:after="0" w:line="240" w:lineRule="auto"/>
      </w:pPr>
      <w:r>
        <w:separator/>
      </w:r>
    </w:p>
  </w:endnote>
  <w:endnote w:type="continuationSeparator" w:id="0">
    <w:p w:rsidR="00A612E8" w:rsidRDefault="00A612E8" w:rsidP="0012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4A" w:rsidRDefault="00123E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4A" w:rsidRDefault="00123E4A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6B921BDEA19481593F3CFBC239B511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:rsidR="00123E4A" w:rsidRDefault="00123E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4A" w:rsidRDefault="00123E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E8" w:rsidRDefault="00A612E8" w:rsidP="00123E4A">
      <w:pPr>
        <w:spacing w:after="0" w:line="240" w:lineRule="auto"/>
      </w:pPr>
      <w:r>
        <w:separator/>
      </w:r>
    </w:p>
  </w:footnote>
  <w:footnote w:type="continuationSeparator" w:id="0">
    <w:p w:rsidR="00A612E8" w:rsidRDefault="00A612E8" w:rsidP="0012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4A" w:rsidRDefault="00123E4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7583610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4A" w:rsidRDefault="00123E4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7583611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4A" w:rsidRDefault="00123E4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7583609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058"/>
    <w:multiLevelType w:val="hybridMultilevel"/>
    <w:tmpl w:val="9AA8B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4A"/>
    <w:rsid w:val="00123E4A"/>
    <w:rsid w:val="00277CA0"/>
    <w:rsid w:val="005718A6"/>
    <w:rsid w:val="00A6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5001BD1-5546-458B-B6BE-4B0DE343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E4A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3E4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2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3E4A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12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E4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B921BDEA19481593F3CFBC239B51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21F49C-60D8-4FBA-9BC0-A76F4D323260}"/>
      </w:docPartPr>
      <w:docPartBody>
        <w:p w:rsidR="00000000" w:rsidRDefault="00A9419D" w:rsidP="00A9419D">
          <w:pPr>
            <w:pStyle w:val="B6B921BDEA19481593F3CFBC239B5119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9D"/>
    <w:rsid w:val="009B02B5"/>
    <w:rsid w:val="00A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9419D"/>
    <w:rPr>
      <w:color w:val="808080"/>
    </w:rPr>
  </w:style>
  <w:style w:type="paragraph" w:customStyle="1" w:styleId="B6B921BDEA19481593F3CFBC239B5119">
    <w:name w:val="B6B921BDEA19481593F3CFBC239B5119"/>
    <w:rsid w:val="00A94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576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2022-01-30T09:56:00Z</dcterms:created>
  <dcterms:modified xsi:type="dcterms:W3CDTF">2022-01-30T09:59:00Z</dcterms:modified>
</cp:coreProperties>
</file>