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C014" w14:textId="77777777" w:rsidR="00FF3153" w:rsidRPr="00254023" w:rsidRDefault="00FF3153" w:rsidP="00D97859">
      <w:pPr>
        <w:pStyle w:val="Hdg-1"/>
        <w:spacing w:before="0"/>
        <w:rPr>
          <w:szCs w:val="24"/>
        </w:rPr>
      </w:pPr>
      <w:bookmarkStart w:id="0" w:name="_Toc297106356"/>
      <w:bookmarkStart w:id="1" w:name="_Toc84777372"/>
      <w:bookmarkStart w:id="2" w:name="_Ref297099084"/>
    </w:p>
    <w:p w14:paraId="047327C7" w14:textId="586D5DBD" w:rsidR="00FF3153" w:rsidRPr="00254023" w:rsidRDefault="00FF3153" w:rsidP="00FF3153">
      <w:pPr>
        <w:spacing w:line="276" w:lineRule="auto"/>
        <w:contextualSpacing/>
        <w:jc w:val="center"/>
        <w:rPr>
          <w:b/>
          <w:bCs/>
          <w:szCs w:val="24"/>
        </w:rPr>
      </w:pPr>
      <w:r w:rsidRPr="00254023">
        <w:rPr>
          <w:b/>
          <w:bCs/>
          <w:szCs w:val="24"/>
        </w:rPr>
        <w:t xml:space="preserve">The </w:t>
      </w:r>
      <w:r w:rsidR="00173046">
        <w:rPr>
          <w:b/>
          <w:bCs/>
          <w:szCs w:val="24"/>
        </w:rPr>
        <w:t>Endgame</w:t>
      </w:r>
      <w:r w:rsidRPr="00254023">
        <w:rPr>
          <w:b/>
          <w:bCs/>
          <w:szCs w:val="24"/>
        </w:rPr>
        <w:t xml:space="preserve"> of Section 377A </w:t>
      </w:r>
      <w:r w:rsidR="00254023">
        <w:rPr>
          <w:b/>
          <w:bCs/>
          <w:szCs w:val="24"/>
        </w:rPr>
        <w:t>L</w:t>
      </w:r>
      <w:r w:rsidRPr="00254023">
        <w:rPr>
          <w:b/>
          <w:bCs/>
          <w:szCs w:val="24"/>
        </w:rPr>
        <w:t>itigation</w:t>
      </w:r>
    </w:p>
    <w:p w14:paraId="075BFA42" w14:textId="02D4C0AD" w:rsidR="00FF3153" w:rsidRPr="00254023" w:rsidRDefault="00FF3153" w:rsidP="00FF3153">
      <w:pPr>
        <w:spacing w:line="276" w:lineRule="auto"/>
        <w:contextualSpacing/>
        <w:jc w:val="center"/>
        <w:rPr>
          <w:szCs w:val="24"/>
        </w:rPr>
      </w:pPr>
      <w:r w:rsidRPr="00254023">
        <w:rPr>
          <w:szCs w:val="24"/>
        </w:rPr>
        <w:t xml:space="preserve">Case Note on </w:t>
      </w:r>
      <w:r w:rsidRPr="00254023">
        <w:rPr>
          <w:i/>
          <w:iCs/>
          <w:szCs w:val="24"/>
        </w:rPr>
        <w:t xml:space="preserve">Tan Seng Kee v Attorney-General </w:t>
      </w:r>
      <w:r w:rsidRPr="00254023">
        <w:rPr>
          <w:szCs w:val="24"/>
        </w:rPr>
        <w:t>[2022] SGCA 16</w:t>
      </w:r>
    </w:p>
    <w:p w14:paraId="17E49DB1" w14:textId="7947845E" w:rsidR="00FF3153" w:rsidRPr="00254023" w:rsidRDefault="00FF3153" w:rsidP="00FF3153">
      <w:pPr>
        <w:spacing w:line="276" w:lineRule="auto"/>
        <w:contextualSpacing/>
        <w:rPr>
          <w:szCs w:val="24"/>
        </w:rPr>
      </w:pPr>
    </w:p>
    <w:p w14:paraId="450315E6" w14:textId="672F6EC6" w:rsidR="00254023" w:rsidRPr="00254023" w:rsidRDefault="00254023" w:rsidP="00254023">
      <w:pPr>
        <w:spacing w:line="276" w:lineRule="auto"/>
        <w:contextualSpacing/>
        <w:jc w:val="both"/>
        <w:rPr>
          <w:b/>
          <w:bCs/>
          <w:szCs w:val="24"/>
        </w:rPr>
      </w:pPr>
      <w:r w:rsidRPr="00254023">
        <w:rPr>
          <w:b/>
          <w:bCs/>
          <w:szCs w:val="24"/>
        </w:rPr>
        <w:t>Don HO Jia Hao</w:t>
      </w:r>
    </w:p>
    <w:p w14:paraId="226BF89D" w14:textId="77777777" w:rsidR="00254023" w:rsidRPr="00254023" w:rsidRDefault="00254023" w:rsidP="00254023">
      <w:pPr>
        <w:spacing w:line="276" w:lineRule="auto"/>
        <w:jc w:val="both"/>
        <w:outlineLvl w:val="0"/>
        <w:rPr>
          <w:i/>
          <w:iCs/>
          <w:szCs w:val="24"/>
        </w:rPr>
      </w:pPr>
      <w:r w:rsidRPr="00254023">
        <w:rPr>
          <w:i/>
          <w:iCs/>
          <w:szCs w:val="24"/>
        </w:rPr>
        <w:t xml:space="preserve">Class of 2022 (LL.B.), Yong </w:t>
      </w:r>
      <w:proofErr w:type="spellStart"/>
      <w:r w:rsidRPr="00254023">
        <w:rPr>
          <w:i/>
          <w:iCs/>
          <w:szCs w:val="24"/>
        </w:rPr>
        <w:t>Pung</w:t>
      </w:r>
      <w:proofErr w:type="spellEnd"/>
      <w:r w:rsidRPr="00254023">
        <w:rPr>
          <w:i/>
          <w:iCs/>
          <w:szCs w:val="24"/>
        </w:rPr>
        <w:t xml:space="preserve"> How School of Law, Singapore Management University</w:t>
      </w:r>
    </w:p>
    <w:p w14:paraId="1F632BEF" w14:textId="77777777" w:rsidR="00FF3153" w:rsidRPr="00254023" w:rsidRDefault="00FF3153" w:rsidP="00D97859">
      <w:pPr>
        <w:pStyle w:val="Hdg-1"/>
        <w:spacing w:before="0"/>
        <w:rPr>
          <w:szCs w:val="24"/>
        </w:rPr>
      </w:pPr>
    </w:p>
    <w:p w14:paraId="6C147B78" w14:textId="1288A65E" w:rsidR="00AB6679" w:rsidRPr="00254023" w:rsidRDefault="0020112B" w:rsidP="00D97859">
      <w:pPr>
        <w:pStyle w:val="Hdg-1"/>
        <w:spacing w:before="0"/>
        <w:rPr>
          <w:szCs w:val="24"/>
        </w:rPr>
      </w:pPr>
      <w:r w:rsidRPr="00254023">
        <w:rPr>
          <w:szCs w:val="24"/>
        </w:rPr>
        <w:t>I.</w:t>
      </w:r>
      <w:r w:rsidRPr="00254023">
        <w:rPr>
          <w:szCs w:val="24"/>
        </w:rPr>
        <w:tab/>
      </w:r>
      <w:r w:rsidR="00AB6679" w:rsidRPr="00254023">
        <w:rPr>
          <w:szCs w:val="24"/>
        </w:rPr>
        <w:t>Introduction</w:t>
      </w:r>
      <w:bookmarkEnd w:id="0"/>
      <w:bookmarkEnd w:id="1"/>
    </w:p>
    <w:bookmarkEnd w:id="2"/>
    <w:p w14:paraId="4C70BF72" w14:textId="7D88E159" w:rsidR="00EE431A" w:rsidRDefault="009069E9" w:rsidP="00296874">
      <w:pPr>
        <w:pStyle w:val="Cont-1"/>
        <w:numPr>
          <w:ilvl w:val="0"/>
          <w:numId w:val="17"/>
        </w:numPr>
        <w:rPr>
          <w:szCs w:val="24"/>
        </w:rPr>
      </w:pPr>
      <w:r>
        <w:rPr>
          <w:szCs w:val="24"/>
        </w:rPr>
        <w:t xml:space="preserve">This case is the </w:t>
      </w:r>
      <w:r w:rsidR="00E70BDE">
        <w:rPr>
          <w:szCs w:val="24"/>
        </w:rPr>
        <w:t xml:space="preserve">latest instalment </w:t>
      </w:r>
      <w:r>
        <w:rPr>
          <w:szCs w:val="24"/>
        </w:rPr>
        <w:t xml:space="preserve">of </w:t>
      </w:r>
      <w:r w:rsidR="00D40307">
        <w:rPr>
          <w:szCs w:val="24"/>
        </w:rPr>
        <w:t xml:space="preserve">more than a decade of litigation </w:t>
      </w:r>
      <w:r w:rsidR="00202CB4">
        <w:rPr>
          <w:szCs w:val="24"/>
        </w:rPr>
        <w:t>on</w:t>
      </w:r>
      <w:r w:rsidR="00D40307">
        <w:rPr>
          <w:szCs w:val="24"/>
        </w:rPr>
        <w:t xml:space="preserve"> </w:t>
      </w:r>
      <w:r w:rsidR="008A3F6C">
        <w:rPr>
          <w:szCs w:val="24"/>
        </w:rPr>
        <w:t xml:space="preserve">the constitutionality of </w:t>
      </w:r>
      <w:r w:rsidR="00D40307">
        <w:rPr>
          <w:szCs w:val="24"/>
        </w:rPr>
        <w:t>s 377A of the Penal Code</w:t>
      </w:r>
      <w:r w:rsidR="00605D88">
        <w:rPr>
          <w:szCs w:val="24"/>
        </w:rPr>
        <w:t xml:space="preserve"> (“PC”)</w:t>
      </w:r>
      <w:r w:rsidR="00D40307">
        <w:rPr>
          <w:szCs w:val="24"/>
        </w:rPr>
        <w:t>.</w:t>
      </w:r>
      <w:r w:rsidR="00F67A1A">
        <w:rPr>
          <w:rStyle w:val="FootnoteReference"/>
          <w:szCs w:val="24"/>
        </w:rPr>
        <w:footnoteReference w:id="2"/>
      </w:r>
      <w:r w:rsidR="00D40307">
        <w:rPr>
          <w:szCs w:val="24"/>
        </w:rPr>
        <w:t xml:space="preserve"> </w:t>
      </w:r>
      <w:r w:rsidR="00287C73">
        <w:rPr>
          <w:szCs w:val="24"/>
        </w:rPr>
        <w:t>Section 377A provides</w:t>
      </w:r>
      <w:r w:rsidR="00EE431A">
        <w:rPr>
          <w:szCs w:val="24"/>
        </w:rPr>
        <w:t xml:space="preserve">: </w:t>
      </w:r>
    </w:p>
    <w:p w14:paraId="4DF34067" w14:textId="77777777" w:rsidR="00EE431A" w:rsidRPr="00FA0A13" w:rsidRDefault="00EE431A" w:rsidP="00F864EC">
      <w:pPr>
        <w:pStyle w:val="Cont-2"/>
        <w:numPr>
          <w:ilvl w:val="0"/>
          <w:numId w:val="0"/>
        </w:numPr>
        <w:ind w:left="720"/>
        <w:contextualSpacing/>
        <w:rPr>
          <w:rFonts w:ascii="Bookman Old Style" w:hAnsi="Bookman Old Style"/>
          <w:b/>
          <w:bCs/>
          <w:sz w:val="20"/>
        </w:rPr>
      </w:pPr>
      <w:r w:rsidRPr="00FA0A13">
        <w:rPr>
          <w:rFonts w:ascii="Bookman Old Style" w:hAnsi="Bookman Old Style"/>
          <w:b/>
          <w:bCs/>
          <w:sz w:val="20"/>
        </w:rPr>
        <w:t xml:space="preserve">Outrages on decency </w:t>
      </w:r>
    </w:p>
    <w:p w14:paraId="4741ED8D" w14:textId="07FA90FA" w:rsidR="00EE431A" w:rsidRPr="00FA0A13" w:rsidRDefault="00EE431A" w:rsidP="00F864EC">
      <w:pPr>
        <w:pStyle w:val="Cont-2"/>
        <w:numPr>
          <w:ilvl w:val="0"/>
          <w:numId w:val="0"/>
        </w:numPr>
        <w:ind w:left="720"/>
        <w:contextualSpacing/>
        <w:rPr>
          <w:rFonts w:ascii="Bookman Old Style" w:hAnsi="Bookman Old Style"/>
          <w:snapToGrid/>
          <w:szCs w:val="24"/>
        </w:rPr>
      </w:pPr>
      <w:r w:rsidRPr="00FA0A13">
        <w:rPr>
          <w:rFonts w:ascii="Bookman Old Style" w:hAnsi="Bookman Old Style"/>
          <w:b/>
          <w:bCs/>
          <w:sz w:val="20"/>
        </w:rPr>
        <w:t>377A.</w:t>
      </w:r>
      <w:r w:rsidRPr="00FA0A13">
        <w:rPr>
          <w:rFonts w:ascii="Bookman Old Style" w:hAnsi="Bookman Old Style"/>
          <w:sz w:val="20"/>
        </w:rPr>
        <w:t xml:space="preserve"> Any male person who, in public or private, commits, or abets the commission of, or procures or attempts to procure the commission by any male person of, any act of gross indecency with another male person, shall be punished with imprisonment for a term which may extend to 2 years.</w:t>
      </w:r>
    </w:p>
    <w:p w14:paraId="69BE4896" w14:textId="787955A4" w:rsidR="00C06D9B" w:rsidRPr="00024ADB" w:rsidRDefault="00F54CAA" w:rsidP="00024ADB">
      <w:pPr>
        <w:pStyle w:val="Cont-1"/>
        <w:numPr>
          <w:ilvl w:val="0"/>
          <w:numId w:val="17"/>
        </w:numPr>
        <w:rPr>
          <w:szCs w:val="24"/>
        </w:rPr>
      </w:pPr>
      <w:r>
        <w:rPr>
          <w:szCs w:val="24"/>
        </w:rPr>
        <w:t>T</w:t>
      </w:r>
      <w:r w:rsidR="00A9718E">
        <w:rPr>
          <w:szCs w:val="24"/>
        </w:rPr>
        <w:t xml:space="preserve">he Court of Appeal held that s 377A is </w:t>
      </w:r>
      <w:r w:rsidR="00631E41">
        <w:rPr>
          <w:szCs w:val="24"/>
        </w:rPr>
        <w:t xml:space="preserve">currently </w:t>
      </w:r>
      <w:r w:rsidR="00A9718E">
        <w:rPr>
          <w:szCs w:val="24"/>
        </w:rPr>
        <w:t>unenforceable in its entirety</w:t>
      </w:r>
      <w:r w:rsidR="00294BC9">
        <w:rPr>
          <w:szCs w:val="24"/>
        </w:rPr>
        <w:t xml:space="preserve"> in order to give effect</w:t>
      </w:r>
      <w:r w:rsidR="00024ADB">
        <w:rPr>
          <w:szCs w:val="24"/>
        </w:rPr>
        <w:t xml:space="preserve"> to the political compromise struck by the Government in 2007 and </w:t>
      </w:r>
      <w:r w:rsidR="00294BC9" w:rsidRPr="00024ADB">
        <w:rPr>
          <w:szCs w:val="24"/>
        </w:rPr>
        <w:t xml:space="preserve">Attorney-General </w:t>
      </w:r>
      <w:r w:rsidR="002A6E2F" w:rsidRPr="00024ADB">
        <w:rPr>
          <w:szCs w:val="24"/>
        </w:rPr>
        <w:t xml:space="preserve">Lucien Wong (“AG Wong”)’s </w:t>
      </w:r>
      <w:r w:rsidR="00294BC9" w:rsidRPr="00024ADB">
        <w:rPr>
          <w:szCs w:val="24"/>
        </w:rPr>
        <w:t>representation</w:t>
      </w:r>
      <w:r w:rsidR="009270B9" w:rsidRPr="00024ADB">
        <w:rPr>
          <w:szCs w:val="24"/>
        </w:rPr>
        <w:t>s</w:t>
      </w:r>
      <w:r w:rsidR="00D2457C" w:rsidRPr="00024ADB">
        <w:rPr>
          <w:szCs w:val="24"/>
        </w:rPr>
        <w:t xml:space="preserve"> in 2018 that </w:t>
      </w:r>
      <w:r w:rsidR="00851583" w:rsidRPr="00024ADB">
        <w:rPr>
          <w:szCs w:val="24"/>
        </w:rPr>
        <w:t xml:space="preserve">the Public Prosecutor </w:t>
      </w:r>
      <w:r w:rsidR="00092739" w:rsidRPr="00024ADB">
        <w:rPr>
          <w:szCs w:val="24"/>
        </w:rPr>
        <w:t xml:space="preserve">(“PP”) </w:t>
      </w:r>
      <w:r w:rsidR="003D6C85" w:rsidRPr="00024ADB">
        <w:rPr>
          <w:szCs w:val="24"/>
        </w:rPr>
        <w:t>would</w:t>
      </w:r>
      <w:r w:rsidR="00851583" w:rsidRPr="00024ADB">
        <w:rPr>
          <w:szCs w:val="24"/>
        </w:rPr>
        <w:t xml:space="preserve"> not prosecute sexual acts between two consenting adult men in private</w:t>
      </w:r>
      <w:r w:rsidR="00CF349F" w:rsidRPr="00024ADB">
        <w:rPr>
          <w:szCs w:val="24"/>
        </w:rPr>
        <w:t>.</w:t>
      </w:r>
      <w:r w:rsidR="006F5275">
        <w:rPr>
          <w:rStyle w:val="FootnoteReference"/>
          <w:szCs w:val="24"/>
        </w:rPr>
        <w:footnoteReference w:id="3"/>
      </w:r>
      <w:r w:rsidR="00CF349F" w:rsidRPr="00024ADB">
        <w:rPr>
          <w:szCs w:val="24"/>
        </w:rPr>
        <w:t xml:space="preserve"> </w:t>
      </w:r>
      <w:r w:rsidR="009270B9" w:rsidRPr="00024ADB">
        <w:rPr>
          <w:szCs w:val="24"/>
        </w:rPr>
        <w:t xml:space="preserve">Section 377A will </w:t>
      </w:r>
      <w:r w:rsidR="00092739" w:rsidRPr="00024ADB">
        <w:rPr>
          <w:szCs w:val="24"/>
        </w:rPr>
        <w:t>remain</w:t>
      </w:r>
      <w:r w:rsidR="009270B9" w:rsidRPr="00024ADB">
        <w:rPr>
          <w:szCs w:val="24"/>
        </w:rPr>
        <w:t xml:space="preserve"> unenforceable </w:t>
      </w:r>
      <w:r w:rsidR="00092739" w:rsidRPr="00024ADB">
        <w:rPr>
          <w:szCs w:val="24"/>
        </w:rPr>
        <w:t xml:space="preserve">unless and </w:t>
      </w:r>
      <w:r w:rsidR="009270B9" w:rsidRPr="00024ADB">
        <w:rPr>
          <w:szCs w:val="24"/>
        </w:rPr>
        <w:t xml:space="preserve">until </w:t>
      </w:r>
      <w:r w:rsidR="003C4245" w:rsidRPr="00024ADB">
        <w:rPr>
          <w:szCs w:val="24"/>
        </w:rPr>
        <w:t>the AG of the day</w:t>
      </w:r>
      <w:r w:rsidR="009270B9" w:rsidRPr="00024ADB">
        <w:rPr>
          <w:szCs w:val="24"/>
        </w:rPr>
        <w:t xml:space="preserve"> gives clear notice that he</w:t>
      </w:r>
      <w:r w:rsidR="00092739" w:rsidRPr="00024ADB">
        <w:rPr>
          <w:szCs w:val="24"/>
        </w:rPr>
        <w:t>, as PP,</w:t>
      </w:r>
      <w:r w:rsidR="009270B9" w:rsidRPr="00024ADB">
        <w:rPr>
          <w:szCs w:val="24"/>
        </w:rPr>
        <w:t xml:space="preserve"> intends </w:t>
      </w:r>
      <w:r w:rsidR="00092739" w:rsidRPr="00024ADB">
        <w:rPr>
          <w:szCs w:val="24"/>
        </w:rPr>
        <w:t>to revoke the 2018 representations and reassert his right to enforce s 377A.</w:t>
      </w:r>
      <w:r w:rsidR="006F5275">
        <w:rPr>
          <w:rStyle w:val="FootnoteReference"/>
          <w:szCs w:val="24"/>
        </w:rPr>
        <w:footnoteReference w:id="4"/>
      </w:r>
      <w:r w:rsidR="00092739" w:rsidRPr="00024ADB">
        <w:rPr>
          <w:szCs w:val="24"/>
        </w:rPr>
        <w:t xml:space="preserve"> </w:t>
      </w:r>
      <w:r w:rsidR="00C11134" w:rsidRPr="00024ADB">
        <w:rPr>
          <w:szCs w:val="24"/>
        </w:rPr>
        <w:t>Accordingly,</w:t>
      </w:r>
      <w:r w:rsidR="00802AB1" w:rsidRPr="00024ADB">
        <w:rPr>
          <w:szCs w:val="24"/>
        </w:rPr>
        <w:t xml:space="preserve"> the appellants did not have standing to pursue their constitutional challenges to s 377A</w:t>
      </w:r>
      <w:r w:rsidR="002E0C8A" w:rsidRPr="00024ADB">
        <w:rPr>
          <w:szCs w:val="24"/>
        </w:rPr>
        <w:t xml:space="preserve"> since they do not face any real and credible threat of prosecution for the time being</w:t>
      </w:r>
      <w:r w:rsidR="00802AB1" w:rsidRPr="00024ADB">
        <w:rPr>
          <w:szCs w:val="24"/>
        </w:rPr>
        <w:t>.</w:t>
      </w:r>
      <w:r w:rsidR="006E1AE8">
        <w:rPr>
          <w:rStyle w:val="FootnoteReference"/>
          <w:szCs w:val="24"/>
        </w:rPr>
        <w:footnoteReference w:id="5"/>
      </w:r>
      <w:r w:rsidR="00802AB1" w:rsidRPr="00024ADB">
        <w:rPr>
          <w:szCs w:val="24"/>
        </w:rPr>
        <w:t xml:space="preserve"> </w:t>
      </w:r>
      <w:r w:rsidR="00C11134" w:rsidRPr="00024ADB">
        <w:rPr>
          <w:szCs w:val="24"/>
        </w:rPr>
        <w:t xml:space="preserve">In the result, the court need </w:t>
      </w:r>
      <w:r w:rsidR="00C11134" w:rsidRPr="00024ADB">
        <w:rPr>
          <w:szCs w:val="24"/>
        </w:rPr>
        <w:lastRenderedPageBreak/>
        <w:t>not deal with the issue of s 377A’s constitutionality.</w:t>
      </w:r>
      <w:r w:rsidR="00C11134">
        <w:rPr>
          <w:rStyle w:val="FootnoteReference"/>
          <w:szCs w:val="24"/>
        </w:rPr>
        <w:footnoteReference w:id="6"/>
      </w:r>
      <w:r w:rsidR="00C02FF9">
        <w:rPr>
          <w:szCs w:val="24"/>
        </w:rPr>
        <w:t xml:space="preserve"> Despite this, the court did make certain observations about the constitutionality of s 377A in </w:t>
      </w:r>
      <w:r w:rsidR="00C02FF9" w:rsidRPr="00C02FF9">
        <w:rPr>
          <w:i/>
          <w:iCs/>
          <w:szCs w:val="24"/>
        </w:rPr>
        <w:t>obiter</w:t>
      </w:r>
      <w:r w:rsidR="00C02FF9">
        <w:rPr>
          <w:szCs w:val="24"/>
        </w:rPr>
        <w:t>.</w:t>
      </w:r>
    </w:p>
    <w:p w14:paraId="3F2BCA8F" w14:textId="57F14B59" w:rsidR="00390F26" w:rsidRDefault="00390F26" w:rsidP="00390F26">
      <w:pPr>
        <w:pStyle w:val="Hdg-1"/>
      </w:pPr>
      <w:r>
        <w:t>II.</w:t>
      </w:r>
      <w:r>
        <w:tab/>
        <w:t xml:space="preserve">Facts </w:t>
      </w:r>
    </w:p>
    <w:p w14:paraId="52B20CFB" w14:textId="20712EC1" w:rsidR="00390F26" w:rsidRDefault="00390F26" w:rsidP="0085323D">
      <w:pPr>
        <w:pStyle w:val="Cont-1"/>
        <w:numPr>
          <w:ilvl w:val="0"/>
          <w:numId w:val="17"/>
        </w:numPr>
      </w:pPr>
      <w:r>
        <w:t xml:space="preserve">The appellants, </w:t>
      </w:r>
      <w:r w:rsidRPr="00E07766">
        <w:t>Dr Tan Seng Kee</w:t>
      </w:r>
      <w:r>
        <w:t xml:space="preserve">, </w:t>
      </w:r>
      <w:r w:rsidRPr="00E07766">
        <w:t>Mr Ong Ming Johnson</w:t>
      </w:r>
      <w:r>
        <w:t xml:space="preserve"> and </w:t>
      </w:r>
      <w:r w:rsidRPr="00E07766">
        <w:t>Mr Choong Chee Hong</w:t>
      </w:r>
      <w:r>
        <w:t xml:space="preserve"> are homosexual men.</w:t>
      </w:r>
      <w:r w:rsidR="0085323D">
        <w:rPr>
          <w:rStyle w:val="FootnoteReference"/>
        </w:rPr>
        <w:footnoteReference w:id="7"/>
      </w:r>
      <w:r>
        <w:t xml:space="preserve"> All three men challenged the constitutionality of s 377A</w:t>
      </w:r>
      <w:r w:rsidR="0085323D">
        <w:t>.</w:t>
      </w:r>
      <w:r w:rsidR="0085323D">
        <w:rPr>
          <w:rStyle w:val="FootnoteReference"/>
        </w:rPr>
        <w:footnoteReference w:id="8"/>
      </w:r>
    </w:p>
    <w:p w14:paraId="3EBD9694" w14:textId="46C26B53" w:rsidR="00296874" w:rsidRDefault="00824838" w:rsidP="00824838">
      <w:pPr>
        <w:pStyle w:val="Hdg-1"/>
      </w:pPr>
      <w:r>
        <w:t>II</w:t>
      </w:r>
      <w:r w:rsidR="00390F26">
        <w:t>I</w:t>
      </w:r>
      <w:r>
        <w:t>.</w:t>
      </w:r>
      <w:r>
        <w:tab/>
      </w:r>
      <w:r w:rsidR="0010676D">
        <w:t>Policy of non-enforcement of s 377A</w:t>
      </w:r>
    </w:p>
    <w:p w14:paraId="007B54E6" w14:textId="77777777" w:rsidR="00041152" w:rsidRDefault="00041152" w:rsidP="00041152">
      <w:pPr>
        <w:pStyle w:val="Cont-1"/>
        <w:numPr>
          <w:ilvl w:val="0"/>
          <w:numId w:val="17"/>
        </w:numPr>
        <w:rPr>
          <w:szCs w:val="24"/>
        </w:rPr>
      </w:pPr>
      <w:r>
        <w:rPr>
          <w:szCs w:val="24"/>
        </w:rPr>
        <w:t xml:space="preserve">In its judgment, the five-judge </w:t>
      </w:r>
      <w:r w:rsidRPr="002D5634">
        <w:rPr>
          <w:i/>
          <w:iCs/>
          <w:szCs w:val="24"/>
        </w:rPr>
        <w:t>coram</w:t>
      </w:r>
      <w:r>
        <w:rPr>
          <w:szCs w:val="24"/>
        </w:rPr>
        <w:t xml:space="preserve"> of the Court of Appeal began by clarifying what the scope of the case was about. It was not about </w:t>
      </w:r>
      <w:r w:rsidRPr="00CE4E89">
        <w:rPr>
          <w:szCs w:val="24"/>
        </w:rPr>
        <w:t>whether s 377A should be retained or repealed</w:t>
      </w:r>
      <w:r>
        <w:rPr>
          <w:szCs w:val="24"/>
        </w:rPr>
        <w:t xml:space="preserve"> (</w:t>
      </w:r>
      <w:r w:rsidRPr="00281063">
        <w:rPr>
          <w:i/>
          <w:iCs/>
          <w:szCs w:val="24"/>
        </w:rPr>
        <w:t>i.e</w:t>
      </w:r>
      <w:r>
        <w:rPr>
          <w:szCs w:val="24"/>
        </w:rPr>
        <w:t>., the policy merits of s 377A)</w:t>
      </w:r>
      <w:r w:rsidRPr="00CE4E89">
        <w:rPr>
          <w:szCs w:val="24"/>
        </w:rPr>
        <w:t>,</w:t>
      </w:r>
      <w:r>
        <w:rPr>
          <w:szCs w:val="24"/>
        </w:rPr>
        <w:t xml:space="preserve"> the </w:t>
      </w:r>
      <w:r w:rsidRPr="00CE4E89">
        <w:rPr>
          <w:szCs w:val="24"/>
        </w:rPr>
        <w:t>moral worth of homosexual individuals</w:t>
      </w:r>
      <w:r>
        <w:rPr>
          <w:szCs w:val="24"/>
        </w:rPr>
        <w:t xml:space="preserve">, or </w:t>
      </w:r>
      <w:r w:rsidRPr="00CE4E89">
        <w:rPr>
          <w:szCs w:val="24"/>
        </w:rPr>
        <w:t>the fundamental nature of sexual orientation</w:t>
      </w:r>
      <w:r>
        <w:rPr>
          <w:szCs w:val="24"/>
        </w:rPr>
        <w:t xml:space="preserve"> because these are extra-legal considerations that are ill-suited to be resolved in a court of law.</w:t>
      </w:r>
      <w:r>
        <w:rPr>
          <w:rStyle w:val="FootnoteReference"/>
          <w:szCs w:val="24"/>
        </w:rPr>
        <w:footnoteReference w:id="9"/>
      </w:r>
      <w:r>
        <w:rPr>
          <w:szCs w:val="24"/>
        </w:rPr>
        <w:t xml:space="preserve"> </w:t>
      </w:r>
    </w:p>
    <w:p w14:paraId="10D143AE" w14:textId="63CC0039" w:rsidR="00824838" w:rsidRPr="001C5A81" w:rsidRDefault="00041152" w:rsidP="001C5A81">
      <w:pPr>
        <w:pStyle w:val="Cont-1"/>
        <w:numPr>
          <w:ilvl w:val="0"/>
          <w:numId w:val="17"/>
        </w:numPr>
        <w:rPr>
          <w:szCs w:val="24"/>
        </w:rPr>
      </w:pPr>
      <w:r>
        <w:rPr>
          <w:szCs w:val="24"/>
        </w:rPr>
        <w:t>Instead, the case was about the constitutionality of s 377A.</w:t>
      </w:r>
      <w:r>
        <w:rPr>
          <w:rStyle w:val="FootnoteReference"/>
          <w:szCs w:val="24"/>
        </w:rPr>
        <w:footnoteReference w:id="10"/>
      </w:r>
      <w:r>
        <w:rPr>
          <w:szCs w:val="24"/>
        </w:rPr>
        <w:t xml:space="preserve"> First, the Court of Appeal noted that litigation might not be the optimal way to resolve the differences between the various interests of society because it is a</w:t>
      </w:r>
      <w:r w:rsidRPr="00C93BBD">
        <w:rPr>
          <w:szCs w:val="24"/>
        </w:rPr>
        <w:t xml:space="preserve"> zero-sum, adversarial process</w:t>
      </w:r>
      <w:r>
        <w:rPr>
          <w:szCs w:val="24"/>
        </w:rPr>
        <w:t>.</w:t>
      </w:r>
      <w:r>
        <w:rPr>
          <w:rStyle w:val="FootnoteReference"/>
          <w:szCs w:val="24"/>
        </w:rPr>
        <w:footnoteReference w:id="11"/>
      </w:r>
      <w:r>
        <w:rPr>
          <w:szCs w:val="24"/>
        </w:rPr>
        <w:t xml:space="preserve"> In contrast, the political process is more conducive to </w:t>
      </w:r>
      <w:r w:rsidRPr="00C93BBD">
        <w:rPr>
          <w:szCs w:val="24"/>
        </w:rPr>
        <w:t>accommodate divergent interests and opinions</w:t>
      </w:r>
      <w:r>
        <w:rPr>
          <w:szCs w:val="24"/>
        </w:rPr>
        <w:t>.</w:t>
      </w:r>
      <w:r>
        <w:rPr>
          <w:rStyle w:val="FootnoteReference"/>
          <w:szCs w:val="24"/>
        </w:rPr>
        <w:footnoteReference w:id="12"/>
      </w:r>
      <w:r>
        <w:rPr>
          <w:szCs w:val="24"/>
        </w:rPr>
        <w:t xml:space="preserve"> </w:t>
      </w:r>
      <w:r w:rsidRPr="001C5A81">
        <w:rPr>
          <w:szCs w:val="24"/>
        </w:rPr>
        <w:t>Yet, to determine the constitutionality of s 377A, the court cannot ignore the political compromise that was struck between the various interests in society in 2007.</w:t>
      </w:r>
      <w:r>
        <w:rPr>
          <w:rStyle w:val="FootnoteReference"/>
          <w:szCs w:val="24"/>
        </w:rPr>
        <w:footnoteReference w:id="13"/>
      </w:r>
    </w:p>
    <w:p w14:paraId="0F8CB825" w14:textId="77B571E2" w:rsidR="00041152" w:rsidRDefault="00041152" w:rsidP="00041152">
      <w:pPr>
        <w:pStyle w:val="Hdg-2"/>
      </w:pPr>
      <w:r>
        <w:lastRenderedPageBreak/>
        <w:t>A.</w:t>
      </w:r>
      <w:r>
        <w:tab/>
        <w:t>The political compromise</w:t>
      </w:r>
    </w:p>
    <w:p w14:paraId="06DEDCC6" w14:textId="25B45C04" w:rsidR="00041152" w:rsidRPr="00041152" w:rsidRDefault="00041152" w:rsidP="00041152">
      <w:pPr>
        <w:pStyle w:val="Cont-1"/>
      </w:pPr>
      <w:r>
        <w:rPr>
          <w:szCs w:val="24"/>
        </w:rPr>
        <w:t>Parliament debated s 377A extensively in 2007</w:t>
      </w:r>
      <w:r w:rsidR="008A6539">
        <w:rPr>
          <w:szCs w:val="24"/>
        </w:rPr>
        <w:t>.</w:t>
      </w:r>
      <w:r>
        <w:rPr>
          <w:szCs w:val="24"/>
        </w:rPr>
        <w:t xml:space="preserve"> </w:t>
      </w:r>
      <w:r w:rsidR="008A6539">
        <w:rPr>
          <w:szCs w:val="24"/>
        </w:rPr>
        <w:t>A</w:t>
      </w:r>
      <w:r>
        <w:rPr>
          <w:szCs w:val="24"/>
        </w:rPr>
        <w:t xml:space="preserve"> political compromise</w:t>
      </w:r>
      <w:r w:rsidR="002703D1">
        <w:rPr>
          <w:szCs w:val="24"/>
        </w:rPr>
        <w:t xml:space="preserve"> was struck by the Government</w:t>
      </w:r>
      <w:r>
        <w:rPr>
          <w:szCs w:val="24"/>
        </w:rPr>
        <w:t xml:space="preserve"> in which s 377A would be kept in the statute books because it bore</w:t>
      </w:r>
      <w:r w:rsidRPr="00D11A11">
        <w:rPr>
          <w:szCs w:val="24"/>
        </w:rPr>
        <w:t xml:space="preserve"> important symbolic weight for the conservative mainstream in Singapore</w:t>
      </w:r>
      <w:r>
        <w:rPr>
          <w:szCs w:val="24"/>
        </w:rPr>
        <w:t>.</w:t>
      </w:r>
      <w:r>
        <w:rPr>
          <w:rStyle w:val="FootnoteReference"/>
          <w:szCs w:val="24"/>
        </w:rPr>
        <w:footnoteReference w:id="14"/>
      </w:r>
      <w:r>
        <w:rPr>
          <w:szCs w:val="24"/>
        </w:rPr>
        <w:t xml:space="preserve"> However, s 377A would not be proactively enforced against homosexual men</w:t>
      </w:r>
      <w:r w:rsidR="00F91AE8">
        <w:rPr>
          <w:szCs w:val="24"/>
        </w:rPr>
        <w:t xml:space="preserve"> to accommodate their interests</w:t>
      </w:r>
      <w:r>
        <w:rPr>
          <w:szCs w:val="24"/>
        </w:rPr>
        <w:t>.</w:t>
      </w:r>
      <w:r>
        <w:rPr>
          <w:rStyle w:val="FootnoteReference"/>
          <w:szCs w:val="24"/>
        </w:rPr>
        <w:footnoteReference w:id="15"/>
      </w:r>
    </w:p>
    <w:p w14:paraId="28961CC2" w14:textId="3F561A80" w:rsidR="0079488C" w:rsidRDefault="00041152" w:rsidP="0079488C">
      <w:pPr>
        <w:pStyle w:val="Cont-1"/>
      </w:pPr>
      <w:r>
        <w:t xml:space="preserve">The Court of Appeal </w:t>
      </w:r>
      <w:r w:rsidR="002A6E2F">
        <w:t xml:space="preserve">explained that the political compromise is relevant in the assessment of the legality of s 377A because </w:t>
      </w:r>
      <w:r w:rsidR="00173F89">
        <w:t>the political compromise</w:t>
      </w:r>
      <w:r w:rsidR="00E2467F">
        <w:t xml:space="preserve"> affects </w:t>
      </w:r>
      <w:r w:rsidR="00C00D2B">
        <w:t>the</w:t>
      </w:r>
      <w:r w:rsidR="00E2467F">
        <w:t xml:space="preserve"> </w:t>
      </w:r>
      <w:r w:rsidR="00C00D2B">
        <w:t xml:space="preserve">lives of homosexual men in Singapore as well as </w:t>
      </w:r>
      <w:r w:rsidR="00224A62">
        <w:t>the meaning and significance of s 377A.</w:t>
      </w:r>
      <w:r w:rsidR="00224A62">
        <w:rPr>
          <w:rStyle w:val="FootnoteReference"/>
        </w:rPr>
        <w:footnoteReference w:id="16"/>
      </w:r>
      <w:r w:rsidR="00173F89">
        <w:t xml:space="preserve"> Moreover, </w:t>
      </w:r>
      <w:r w:rsidR="002A6E2F">
        <w:t xml:space="preserve">the political compromise took on a </w:t>
      </w:r>
      <w:r w:rsidR="00173F89">
        <w:t xml:space="preserve">new </w:t>
      </w:r>
      <w:r w:rsidR="002A6E2F">
        <w:t xml:space="preserve">legal significance in 2018 </w:t>
      </w:r>
      <w:r w:rsidR="00173F89">
        <w:t>following AG Wong’s representations</w:t>
      </w:r>
      <w:r w:rsidR="0079488C">
        <w:t>.</w:t>
      </w:r>
      <w:r w:rsidR="00173F89">
        <w:rPr>
          <w:rStyle w:val="FootnoteReference"/>
        </w:rPr>
        <w:footnoteReference w:id="17"/>
      </w:r>
      <w:r w:rsidR="00173F89">
        <w:t xml:space="preserve"> </w:t>
      </w:r>
      <w:r w:rsidR="0079488C">
        <w:t>AG</w:t>
      </w:r>
      <w:r w:rsidR="00C7403D">
        <w:t xml:space="preserve"> Wong stated </w:t>
      </w:r>
      <w:r w:rsidR="003A1141">
        <w:t xml:space="preserve">in a press release </w:t>
      </w:r>
      <w:r w:rsidR="00C7403D">
        <w:t>that</w:t>
      </w:r>
      <w:r w:rsidR="003A1141">
        <w:t>:</w:t>
      </w:r>
      <w:r w:rsidR="0079488C">
        <w:rPr>
          <w:rStyle w:val="FootnoteReference"/>
        </w:rPr>
        <w:footnoteReference w:id="18"/>
      </w:r>
      <w:r w:rsidR="003A1141">
        <w:t xml:space="preserve"> </w:t>
      </w:r>
    </w:p>
    <w:p w14:paraId="4928B203" w14:textId="084F82D0" w:rsidR="0079488C" w:rsidRPr="0079488C" w:rsidRDefault="00A07144" w:rsidP="0079488C">
      <w:pPr>
        <w:pStyle w:val="Cont-1"/>
        <w:numPr>
          <w:ilvl w:val="0"/>
          <w:numId w:val="0"/>
        </w:numPr>
        <w:ind w:left="720"/>
        <w:rPr>
          <w:rFonts w:ascii="Bookman Old Style" w:hAnsi="Bookman Old Style"/>
          <w:sz w:val="20"/>
        </w:rPr>
      </w:pPr>
      <w:r>
        <w:rPr>
          <w:rFonts w:ascii="Bookman Old Style" w:hAnsi="Bookman Old Style"/>
          <w:sz w:val="20"/>
        </w:rPr>
        <w:t xml:space="preserve">… </w:t>
      </w:r>
      <w:r w:rsidR="0079488C" w:rsidRPr="0079488C">
        <w:rPr>
          <w:rFonts w:ascii="Bookman Old Style" w:hAnsi="Bookman Old Style"/>
          <w:sz w:val="20"/>
        </w:rPr>
        <w:t>In the case of section 377A, where the conduct in question was between two consenting adults in a private place, the PP had, absent other factors, taken the position that prosecution would not be in the public interest. This remains the position today.</w:t>
      </w:r>
    </w:p>
    <w:p w14:paraId="58F859F4" w14:textId="43A43F84" w:rsidR="0079488C" w:rsidRDefault="00E130F3" w:rsidP="00E130F3">
      <w:pPr>
        <w:pStyle w:val="Cont-1"/>
        <w:numPr>
          <w:ilvl w:val="0"/>
          <w:numId w:val="0"/>
        </w:numPr>
      </w:pPr>
      <w:r>
        <w:t xml:space="preserve">Accordingly, it would be artificial and unrealistic to ignore these legislature and executive actions when </w:t>
      </w:r>
      <w:r w:rsidRPr="00E130F3">
        <w:t>assessing the legality of s 377A</w:t>
      </w:r>
      <w:r>
        <w:t>.</w:t>
      </w:r>
      <w:r>
        <w:rPr>
          <w:rStyle w:val="FootnoteReference"/>
        </w:rPr>
        <w:footnoteReference w:id="19"/>
      </w:r>
    </w:p>
    <w:p w14:paraId="1E0EFC18" w14:textId="40987C3C" w:rsidR="00E130F3" w:rsidRDefault="008B4E3E" w:rsidP="008B4E3E">
      <w:pPr>
        <w:pStyle w:val="Hdg-2"/>
      </w:pPr>
      <w:r>
        <w:t>B.</w:t>
      </w:r>
      <w:r>
        <w:tab/>
        <w:t>Uncertainties arising from the political compromise</w:t>
      </w:r>
    </w:p>
    <w:p w14:paraId="474CE547" w14:textId="32ED3574" w:rsidR="00935D4B" w:rsidRDefault="0046361B" w:rsidP="008B4E3E">
      <w:pPr>
        <w:pStyle w:val="Cont-1"/>
      </w:pPr>
      <w:r>
        <w:t xml:space="preserve">Despite the political compromise </w:t>
      </w:r>
      <w:r w:rsidR="001C5A81">
        <w:t>that s 377A would not be proactively enforced</w:t>
      </w:r>
      <w:r>
        <w:t xml:space="preserve">, the Court of Appeal was of the view that there remained uncertainties as to </w:t>
      </w:r>
      <w:r w:rsidR="00935D4B">
        <w:t xml:space="preserve">the potential liabilities of homosexual men under s 377A for the following reasons: </w:t>
      </w:r>
    </w:p>
    <w:p w14:paraId="06AEA3F4" w14:textId="198341AA" w:rsidR="00935D4B" w:rsidRDefault="00935D4B" w:rsidP="00935D4B">
      <w:pPr>
        <w:pStyle w:val="Cont-2"/>
      </w:pPr>
      <w:r>
        <w:lastRenderedPageBreak/>
        <w:t xml:space="preserve">First, representations </w:t>
      </w:r>
      <w:r w:rsidR="00AF4808">
        <w:t>made as part of the political compromise do not bind either the Government or AG, whether presently or in the future.</w:t>
      </w:r>
      <w:r w:rsidR="008530DE">
        <w:rPr>
          <w:rStyle w:val="FootnoteReference"/>
        </w:rPr>
        <w:footnoteReference w:id="20"/>
      </w:r>
    </w:p>
    <w:p w14:paraId="7E50604C" w14:textId="5FA7B0D3" w:rsidR="004E21C5" w:rsidRDefault="008530DE" w:rsidP="004E21C5">
      <w:pPr>
        <w:pStyle w:val="Cont-2"/>
      </w:pPr>
      <w:r>
        <w:t xml:space="preserve">Second, </w:t>
      </w:r>
      <w:r w:rsidR="001C5A81">
        <w:t xml:space="preserve">there was some uncertainty as to the </w:t>
      </w:r>
      <w:r w:rsidR="00581BCE" w:rsidRPr="00581BCE">
        <w:t>scope and source of any legal protection from prosecution under s 377A</w:t>
      </w:r>
      <w:r w:rsidR="00C84791">
        <w:t xml:space="preserve">. With regards to scope, </w:t>
      </w:r>
      <w:r w:rsidR="00581BCE">
        <w:t xml:space="preserve">the Prime Minister’s representation in Parliament was broader than AG Wong’s statement in 2018, </w:t>
      </w:r>
      <w:r w:rsidR="00581BCE" w:rsidRPr="00581BCE">
        <w:rPr>
          <w:i/>
          <w:iCs/>
        </w:rPr>
        <w:t>viz</w:t>
      </w:r>
      <w:r w:rsidR="00581BCE">
        <w:t xml:space="preserve">. the Prime Minister’s speech suggested that </w:t>
      </w:r>
      <w:r w:rsidR="00581BCE" w:rsidRPr="00581BCE">
        <w:t>s 377A will generally not be enforced</w:t>
      </w:r>
      <w:r w:rsidR="00581BCE">
        <w:t xml:space="preserve">, but AG Wong’s statement specifically stated that only a </w:t>
      </w:r>
      <w:r w:rsidR="00581BCE" w:rsidRPr="00581BCE">
        <w:t xml:space="preserve">certain category of acts caught by s 377A, </w:t>
      </w:r>
      <w:r w:rsidR="00581BCE" w:rsidRPr="00581BCE">
        <w:rPr>
          <w:i/>
          <w:iCs/>
        </w:rPr>
        <w:t>viz</w:t>
      </w:r>
      <w:r w:rsidR="00581BCE">
        <w:t>.</w:t>
      </w:r>
      <w:r w:rsidR="00581BCE" w:rsidRPr="00581BCE">
        <w:t xml:space="preserve"> sexual conduct between consenting adult men in private, would generally not be prosecuted under </w:t>
      </w:r>
      <w:r w:rsidR="00C84791">
        <w:t>s 377A.</w:t>
      </w:r>
      <w:r w:rsidR="00C84791">
        <w:rPr>
          <w:rStyle w:val="FootnoteReference"/>
        </w:rPr>
        <w:footnoteReference w:id="21"/>
      </w:r>
      <w:r w:rsidR="00061389">
        <w:t xml:space="preserve"> </w:t>
      </w:r>
      <w:r w:rsidR="00C84791">
        <w:t xml:space="preserve">With respect to the source of </w:t>
      </w:r>
      <w:r w:rsidR="00DF4A08">
        <w:t xml:space="preserve">legal protection, </w:t>
      </w:r>
      <w:r w:rsidR="00A57D20">
        <w:t xml:space="preserve">the Court of Appeal observed that </w:t>
      </w:r>
      <w:r w:rsidR="00A57D20" w:rsidRPr="00A57D20">
        <w:t xml:space="preserve">statements by the Government do not bind the </w:t>
      </w:r>
      <w:r w:rsidR="00A57D20">
        <w:t>PP’s</w:t>
      </w:r>
      <w:r w:rsidR="00A57D20" w:rsidRPr="00A57D20">
        <w:t xml:space="preserve"> exercise of his prosecutorial discretion</w:t>
      </w:r>
      <w:r w:rsidR="00A57D20">
        <w:t xml:space="preserve"> since the prosecutorial discretion is exercised independently</w:t>
      </w:r>
      <w:r w:rsidR="001A4348">
        <w:t>.</w:t>
      </w:r>
      <w:r w:rsidR="001A4348">
        <w:rPr>
          <w:rStyle w:val="FootnoteReference"/>
        </w:rPr>
        <w:footnoteReference w:id="22"/>
      </w:r>
    </w:p>
    <w:p w14:paraId="7274119B" w14:textId="2350E533" w:rsidR="00935D4B" w:rsidRDefault="00627B79" w:rsidP="004E21C5">
      <w:pPr>
        <w:pStyle w:val="Cont-2"/>
      </w:pPr>
      <w:r>
        <w:t xml:space="preserve">Third, </w:t>
      </w:r>
      <w:r w:rsidR="004E21C5">
        <w:t xml:space="preserve">there </w:t>
      </w:r>
      <w:r w:rsidR="00156F35">
        <w:t>was</w:t>
      </w:r>
      <w:r w:rsidR="004E21C5">
        <w:t xml:space="preserve"> ambiguity as to how the political compromise would affect the enforcement of other laws. For instance, it </w:t>
      </w:r>
      <w:r w:rsidR="00156F35">
        <w:t>was</w:t>
      </w:r>
      <w:r w:rsidR="004E21C5">
        <w:t xml:space="preserve"> unclear whether a person who is aware of </w:t>
      </w:r>
      <w:r w:rsidR="00571414">
        <w:t xml:space="preserve">the commission of </w:t>
      </w:r>
      <w:r w:rsidR="00571414" w:rsidRPr="00571414">
        <w:t>any act of gross indecency</w:t>
      </w:r>
      <w:r w:rsidR="00571414">
        <w:t xml:space="preserve"> between homosexual men in private would be required to report the offence pursuant to s 424 of the Criminal Procedure Code (“CPC”)</w:t>
      </w:r>
      <w:r w:rsidR="00571414">
        <w:rPr>
          <w:rStyle w:val="FootnoteReference"/>
        </w:rPr>
        <w:footnoteReference w:id="23"/>
      </w:r>
      <w:r w:rsidR="00605D88">
        <w:t xml:space="preserve"> as well as s 1</w:t>
      </w:r>
      <w:r w:rsidR="00156F35">
        <w:t>76</w:t>
      </w:r>
      <w:r w:rsidR="00605D88">
        <w:t xml:space="preserve"> of the PC.</w:t>
      </w:r>
      <w:r w:rsidR="00156F35">
        <w:t xml:space="preserve"> Moreover, it </w:t>
      </w:r>
      <w:r w:rsidR="00E821CD">
        <w:t xml:space="preserve">was also ambiguous as to whether </w:t>
      </w:r>
      <w:r w:rsidR="00E821CD" w:rsidRPr="00E821CD">
        <w:t xml:space="preserve">a public servant who knows </w:t>
      </w:r>
      <w:r w:rsidR="00E6255F">
        <w:t>that</w:t>
      </w:r>
      <w:r w:rsidR="00E821CD" w:rsidRPr="00E821CD">
        <w:t xml:space="preserve"> such conduct is likely to be committed is legally bound under s 119 of the PC to disclose </w:t>
      </w:r>
      <w:r w:rsidR="00E6255F">
        <w:t>it.</w:t>
      </w:r>
      <w:r w:rsidR="00E6255F">
        <w:rPr>
          <w:rStyle w:val="FootnoteReference"/>
        </w:rPr>
        <w:footnoteReference w:id="24"/>
      </w:r>
    </w:p>
    <w:p w14:paraId="796A606D" w14:textId="46DB95A9" w:rsidR="00207F9F" w:rsidRDefault="00207F9F" w:rsidP="00207F9F">
      <w:pPr>
        <w:pStyle w:val="Cont-1"/>
      </w:pPr>
      <w:r>
        <w:t>The</w:t>
      </w:r>
      <w:r w:rsidR="00A716E5">
        <w:t xml:space="preserve"> court concluded that such </w:t>
      </w:r>
      <w:r w:rsidR="006F65A0">
        <w:t xml:space="preserve">legal </w:t>
      </w:r>
      <w:r w:rsidR="00A716E5">
        <w:t xml:space="preserve">uncertainties </w:t>
      </w:r>
      <w:r>
        <w:t xml:space="preserve">have left homosexual </w:t>
      </w:r>
      <w:r w:rsidR="00A716E5" w:rsidRPr="00A716E5">
        <w:t>men unable to plan their lives adequately</w:t>
      </w:r>
      <w:r w:rsidR="006F65A0">
        <w:t>,</w:t>
      </w:r>
      <w:r w:rsidR="00E477D5">
        <w:rPr>
          <w:rStyle w:val="FootnoteReference"/>
        </w:rPr>
        <w:footnoteReference w:id="25"/>
      </w:r>
      <w:r w:rsidR="006F65A0">
        <w:t xml:space="preserve"> and may be regarded as giving rise to a sense of harassment which must be minimised to give full legal effect to the </w:t>
      </w:r>
      <w:r w:rsidR="006F65A0">
        <w:lastRenderedPageBreak/>
        <w:t>political compromise.</w:t>
      </w:r>
      <w:r w:rsidR="006F65A0">
        <w:rPr>
          <w:rStyle w:val="FootnoteReference"/>
        </w:rPr>
        <w:footnoteReference w:id="26"/>
      </w:r>
      <w:r w:rsidR="006F65A0">
        <w:t xml:space="preserve"> </w:t>
      </w:r>
      <w:r>
        <w:t xml:space="preserve">This is contrary to the notion that </w:t>
      </w:r>
      <w:r w:rsidR="007C09A7">
        <w:t xml:space="preserve">the </w:t>
      </w:r>
      <w:r w:rsidRPr="00A716E5">
        <w:t xml:space="preserve">law must be capable </w:t>
      </w:r>
      <w:r>
        <w:t>to guide</w:t>
      </w:r>
      <w:r w:rsidRPr="00A716E5">
        <w:t xml:space="preserve"> the conduct of those that it binds</w:t>
      </w:r>
      <w:r>
        <w:t>.</w:t>
      </w:r>
      <w:r w:rsidR="00E477D5">
        <w:rPr>
          <w:rStyle w:val="FootnoteReference"/>
        </w:rPr>
        <w:footnoteReference w:id="27"/>
      </w:r>
      <w:r w:rsidR="00E477D5">
        <w:t xml:space="preserve"> </w:t>
      </w:r>
      <w:r>
        <w:t xml:space="preserve">Moreover, even if offences under s </w:t>
      </w:r>
      <w:r w:rsidR="003A2B79">
        <w:t xml:space="preserve">377A were not prosecuted, there is still the issue of liability under </w:t>
      </w:r>
      <w:r w:rsidR="003A2B79" w:rsidRPr="003A2B79">
        <w:t>s 424 of the CPC</w:t>
      </w:r>
      <w:r w:rsidR="003A2B79">
        <w:t xml:space="preserve"> and ss 176 and 119 of</w:t>
      </w:r>
      <w:r w:rsidR="003A2B79" w:rsidRPr="003A2B79">
        <w:t xml:space="preserve"> the PC</w:t>
      </w:r>
      <w:r w:rsidR="003A2B79">
        <w:t>.</w:t>
      </w:r>
      <w:r w:rsidR="005A2F24">
        <w:rPr>
          <w:rStyle w:val="FootnoteReference"/>
        </w:rPr>
        <w:footnoteReference w:id="28"/>
      </w:r>
      <w:r w:rsidR="003A2B79">
        <w:t xml:space="preserve"> </w:t>
      </w:r>
    </w:p>
    <w:p w14:paraId="2D8C8A79" w14:textId="5B16431F" w:rsidR="003A2B79" w:rsidRDefault="005A2F24" w:rsidP="005A2F24">
      <w:pPr>
        <w:pStyle w:val="Hdg-1"/>
      </w:pPr>
      <w:r>
        <w:t>I</w:t>
      </w:r>
      <w:r w:rsidR="00CF390C">
        <w:t>V</w:t>
      </w:r>
      <w:r>
        <w:t>.</w:t>
      </w:r>
      <w:r>
        <w:tab/>
        <w:t>Doctrine of substantive legitimate expectations</w:t>
      </w:r>
    </w:p>
    <w:p w14:paraId="24C15A7C" w14:textId="0D0C92BC" w:rsidR="003F4CAC" w:rsidRPr="003F4CAC" w:rsidRDefault="003F4CAC" w:rsidP="003F4CAC">
      <w:pPr>
        <w:pStyle w:val="Hdg-2"/>
      </w:pPr>
      <w:r>
        <w:t>A.</w:t>
      </w:r>
      <w:r>
        <w:tab/>
        <w:t>Limited recognition of the doctrine in the context of s 377A</w:t>
      </w:r>
    </w:p>
    <w:p w14:paraId="6D752DA2" w14:textId="4FF9C72C" w:rsidR="00A91824" w:rsidRDefault="00D72FE2" w:rsidP="00A91824">
      <w:pPr>
        <w:pStyle w:val="Cont-1"/>
      </w:pPr>
      <w:r>
        <w:t xml:space="preserve">To imbue AG Wong’s representations with legal force, the Court of Appeal invoked the </w:t>
      </w:r>
      <w:r w:rsidR="00537568">
        <w:t>doctrine of substantive legitimate expectations in the context of s 377A.</w:t>
      </w:r>
      <w:r w:rsidR="00537568">
        <w:rPr>
          <w:rStyle w:val="FootnoteReference"/>
        </w:rPr>
        <w:footnoteReference w:id="29"/>
      </w:r>
      <w:r w:rsidR="00537568">
        <w:t xml:space="preserve"> </w:t>
      </w:r>
      <w:r w:rsidR="006627A9">
        <w:t xml:space="preserve">In </w:t>
      </w:r>
      <w:r w:rsidR="007762E6">
        <w:t>so holding,</w:t>
      </w:r>
      <w:r w:rsidR="00C0149E">
        <w:t xml:space="preserve"> the court was guided</w:t>
      </w:r>
      <w:r w:rsidR="00537568">
        <w:t xml:space="preserve"> by two </w:t>
      </w:r>
      <w:r w:rsidR="00C0149E">
        <w:t xml:space="preserve">fundamental considerations. First, </w:t>
      </w:r>
      <w:r w:rsidR="00A60A9F">
        <w:t xml:space="preserve">not recognising the legal effect of AG Wong’s representations may expose </w:t>
      </w:r>
      <w:r w:rsidR="002A67E0">
        <w:t>homosexual</w:t>
      </w:r>
      <w:r w:rsidR="00A60A9F">
        <w:t xml:space="preserve"> </w:t>
      </w:r>
      <w:r w:rsidR="002A67E0">
        <w:t>men</w:t>
      </w:r>
      <w:r w:rsidR="00A60A9F">
        <w:t xml:space="preserve"> to </w:t>
      </w:r>
      <w:r w:rsidR="002A67E0">
        <w:t xml:space="preserve">the threat of </w:t>
      </w:r>
      <w:r w:rsidR="00A60A9F">
        <w:t>prosecution and the severe effects thereof.</w:t>
      </w:r>
      <w:r w:rsidR="005876E0">
        <w:rPr>
          <w:rStyle w:val="FootnoteReference"/>
        </w:rPr>
        <w:footnoteReference w:id="30"/>
      </w:r>
      <w:r w:rsidR="00A60A9F">
        <w:t xml:space="preserve"> </w:t>
      </w:r>
      <w:r w:rsidR="002A67E0">
        <w:t xml:space="preserve">Second, invoking the doctrine of substantive legitimate expectations in the present instance would uphold the public interest in maintaining the </w:t>
      </w:r>
      <w:r w:rsidR="008678F3">
        <w:t xml:space="preserve">political compromise struck by </w:t>
      </w:r>
      <w:r w:rsidR="00024ADB">
        <w:t>the Government</w:t>
      </w:r>
      <w:r w:rsidR="008678F3">
        <w:t xml:space="preserve"> in 2007 and avoid the need to decide whether s 377A should be struck down as null and void, a</w:t>
      </w:r>
      <w:r w:rsidR="00461C1E">
        <w:t xml:space="preserve"> zero-sum endeavour. </w:t>
      </w:r>
      <w:r w:rsidR="006627A9">
        <w:t xml:space="preserve">In essence, the </w:t>
      </w:r>
      <w:r w:rsidR="006627A9" w:rsidRPr="006627A9">
        <w:t>general policy of not enforcing s 377A are exceptional.</w:t>
      </w:r>
      <w:r w:rsidR="006627A9" w:rsidRPr="006627A9">
        <w:rPr>
          <w:rStyle w:val="FootnoteReference"/>
        </w:rPr>
        <w:t xml:space="preserve"> </w:t>
      </w:r>
      <w:r w:rsidR="006627A9">
        <w:rPr>
          <w:rStyle w:val="FootnoteReference"/>
        </w:rPr>
        <w:footnoteReference w:id="31"/>
      </w:r>
      <w:r w:rsidR="006627A9">
        <w:t xml:space="preserve">  </w:t>
      </w:r>
    </w:p>
    <w:p w14:paraId="0BD64D73" w14:textId="337A3E5A" w:rsidR="006627A9" w:rsidRPr="002450C9" w:rsidRDefault="006627A9" w:rsidP="00040A6F">
      <w:pPr>
        <w:pStyle w:val="Cont-1"/>
      </w:pPr>
      <w:r>
        <w:t>The court also noted that</w:t>
      </w:r>
      <w:r w:rsidR="008843A7">
        <w:t xml:space="preserve"> </w:t>
      </w:r>
      <w:r w:rsidR="00DB3B14">
        <w:t>recognising the</w:t>
      </w:r>
      <w:r w:rsidR="008843A7">
        <w:t xml:space="preserve"> doctrine of substantive legitimate expectations is not contradictory to separation of powers</w:t>
      </w:r>
      <w:r w:rsidR="00191686">
        <w:t xml:space="preserve">, nor does it require the courts to review the substantive merits of the political compromise </w:t>
      </w:r>
      <w:r w:rsidR="008843A7">
        <w:t xml:space="preserve">because </w:t>
      </w:r>
      <w:r w:rsidR="00F448E5" w:rsidRPr="00F448E5">
        <w:t xml:space="preserve">the court </w:t>
      </w:r>
      <w:r w:rsidR="00191686">
        <w:t>was</w:t>
      </w:r>
      <w:r w:rsidR="00F448E5">
        <w:t xml:space="preserve"> simply</w:t>
      </w:r>
      <w:r w:rsidR="00F448E5" w:rsidRPr="00F448E5">
        <w:t xml:space="preserve"> giving effect to the political compromise on s 377A</w:t>
      </w:r>
      <w:r w:rsidR="00F448E5">
        <w:t>.</w:t>
      </w:r>
      <w:r w:rsidR="00191686">
        <w:rPr>
          <w:rStyle w:val="FootnoteReference"/>
        </w:rPr>
        <w:footnoteReference w:id="32"/>
      </w:r>
      <w:r w:rsidR="003F4CAC">
        <w:t xml:space="preserve"> </w:t>
      </w:r>
      <w:r w:rsidR="00191686">
        <w:t xml:space="preserve">Neither does </w:t>
      </w:r>
      <w:r w:rsidR="00040A6F">
        <w:t>invoking the doctrine</w:t>
      </w:r>
      <w:r w:rsidR="00191686">
        <w:t xml:space="preserve"> violate the </w:t>
      </w:r>
      <w:r w:rsidR="00882E19">
        <w:t xml:space="preserve">PP’s prosecutorial discretion because a future AG may destroy the expectation founded on AG </w:t>
      </w:r>
      <w:r w:rsidR="00882E19">
        <w:lastRenderedPageBreak/>
        <w:t xml:space="preserve">Wong’s 2018 representations by giving clear and unambiguous notice that he intends to </w:t>
      </w:r>
      <w:r w:rsidR="005407BB">
        <w:t xml:space="preserve">revoke AG Wong’s representations and </w:t>
      </w:r>
      <w:r w:rsidR="00882E19">
        <w:t xml:space="preserve"> </w:t>
      </w:r>
      <w:r w:rsidR="005407BB" w:rsidRPr="00040A6F">
        <w:rPr>
          <w:szCs w:val="24"/>
        </w:rPr>
        <w:t>reassert his right to enforce s 377A.</w:t>
      </w:r>
      <w:r w:rsidR="005407BB">
        <w:rPr>
          <w:rStyle w:val="FootnoteReference"/>
          <w:szCs w:val="24"/>
        </w:rPr>
        <w:footnoteReference w:id="33"/>
      </w:r>
    </w:p>
    <w:p w14:paraId="4947184E" w14:textId="12360B62" w:rsidR="002450C9" w:rsidRDefault="002450C9" w:rsidP="00040A6F">
      <w:pPr>
        <w:pStyle w:val="Cont-1"/>
      </w:pPr>
      <w:r>
        <w:rPr>
          <w:szCs w:val="24"/>
        </w:rPr>
        <w:t>Finally, the court reiterated that the recognition of the doctrine of substantive legitimate expectations is a limited one</w:t>
      </w:r>
      <w:r w:rsidR="00AC324E">
        <w:rPr>
          <w:szCs w:val="24"/>
        </w:rPr>
        <w:t>; w</w:t>
      </w:r>
      <w:r>
        <w:rPr>
          <w:szCs w:val="24"/>
        </w:rPr>
        <w:t>hether the doctrine should be imported into</w:t>
      </w:r>
      <w:r w:rsidRPr="002450C9">
        <w:rPr>
          <w:szCs w:val="24"/>
        </w:rPr>
        <w:t xml:space="preserve"> Singapore law in any wider context</w:t>
      </w:r>
      <w:r>
        <w:rPr>
          <w:szCs w:val="24"/>
        </w:rPr>
        <w:t xml:space="preserve"> remains an open question to be determined in a future case.</w:t>
      </w:r>
      <w:r>
        <w:rPr>
          <w:rStyle w:val="FootnoteReference"/>
          <w:szCs w:val="24"/>
        </w:rPr>
        <w:footnoteReference w:id="34"/>
      </w:r>
    </w:p>
    <w:p w14:paraId="6E4D9366" w14:textId="7CDA98B6" w:rsidR="00AC324E" w:rsidRDefault="003F4CAC" w:rsidP="00AC324E">
      <w:pPr>
        <w:pStyle w:val="Hdg-2"/>
      </w:pPr>
      <w:r>
        <w:t>B</w:t>
      </w:r>
      <w:r w:rsidR="00AC324E">
        <w:t>.</w:t>
      </w:r>
      <w:r w:rsidR="00AC324E">
        <w:tab/>
        <w:t xml:space="preserve">Application </w:t>
      </w:r>
    </w:p>
    <w:p w14:paraId="630EBF94" w14:textId="3D2E10EB" w:rsidR="00AC324E" w:rsidRDefault="00B62A35" w:rsidP="00FE7E5A">
      <w:pPr>
        <w:pStyle w:val="Cont-1"/>
      </w:pPr>
      <w:r>
        <w:t>On the facts,</w:t>
      </w:r>
      <w:r w:rsidR="00C877E8">
        <w:t xml:space="preserve"> the Court of Appeal held that</w:t>
      </w:r>
      <w:r w:rsidR="006621C0">
        <w:t xml:space="preserve"> </w:t>
      </w:r>
      <w:r w:rsidR="00FE7E5A">
        <w:t>a legitimate expectation had arisen with respect to AG Wong’s representation that the PP</w:t>
      </w:r>
      <w:r w:rsidR="00FE7E5A" w:rsidRPr="00B62A35">
        <w:t xml:space="preserve"> would not prosecute sexual acts between two consenting adult men in </w:t>
      </w:r>
      <w:r w:rsidR="00CA185E" w:rsidRPr="00B62A35">
        <w:t>private</w:t>
      </w:r>
      <w:r w:rsidR="00CA185E">
        <w:t xml:space="preserve"> and</w:t>
      </w:r>
      <w:r w:rsidR="00FE7E5A">
        <w:t xml:space="preserve"> should be given effect. </w:t>
      </w:r>
      <w:r>
        <w:t xml:space="preserve">First, the representations were made by the AG in his official capacity as PP. Second, they were </w:t>
      </w:r>
      <w:r w:rsidRPr="00B62A35">
        <w:t>publicly promulgated</w:t>
      </w:r>
      <w:r>
        <w:t xml:space="preserve">. Third, the representations were legally significant in that they </w:t>
      </w:r>
      <w:r w:rsidRPr="00B62A35">
        <w:t xml:space="preserve">constitute guidelines on how the PP will exercise his discretion </w:t>
      </w:r>
      <w:r>
        <w:t xml:space="preserve">in prosecuting s </w:t>
      </w:r>
      <w:r w:rsidRPr="00B62A35">
        <w:t>377A offences.</w:t>
      </w:r>
      <w:r w:rsidR="006621C0">
        <w:t xml:space="preserve"> </w:t>
      </w:r>
      <w:r w:rsidR="00CA185E">
        <w:t>Fourth</w:t>
      </w:r>
      <w:r>
        <w:t xml:space="preserve">, </w:t>
      </w:r>
      <w:r w:rsidR="00FE7E5A">
        <w:t xml:space="preserve">giving effect to the representations </w:t>
      </w:r>
      <w:r w:rsidR="00FE7E5A" w:rsidRPr="00FE7E5A">
        <w:t>will not result in a breach of the law or of Singapore’s international obligations.</w:t>
      </w:r>
      <w:r w:rsidR="00CA185E">
        <w:t xml:space="preserve"> Finally, nothing suggests that giving effect to this legitimate expectation would </w:t>
      </w:r>
      <w:r w:rsidR="00CA185E" w:rsidRPr="00CA185E">
        <w:t>infringe the accrued rights</w:t>
      </w:r>
      <w:r w:rsidR="00CA185E">
        <w:t xml:space="preserve"> of anyone or that the expectation was </w:t>
      </w:r>
      <w:r w:rsidR="00CA185E" w:rsidRPr="00CA185E">
        <w:t>outweighed by an overriding national or public interest.</w:t>
      </w:r>
      <w:r w:rsidR="00CA185E">
        <w:rPr>
          <w:rStyle w:val="FootnoteReference"/>
        </w:rPr>
        <w:footnoteReference w:id="35"/>
      </w:r>
    </w:p>
    <w:p w14:paraId="6B49D51F" w14:textId="565A1333" w:rsidR="008766C8" w:rsidRDefault="00CE12A1" w:rsidP="007762E6">
      <w:pPr>
        <w:pStyle w:val="Cont-1"/>
      </w:pPr>
      <w:r>
        <w:t xml:space="preserve">The Court of Appeal then went on to hold that s 377A </w:t>
      </w:r>
      <w:r w:rsidR="00675051">
        <w:t>was unenforceable in its entirely</w:t>
      </w:r>
      <w:r w:rsidR="007762E6">
        <w:t xml:space="preserve">. In doing so, </w:t>
      </w:r>
      <w:r w:rsidR="00675051">
        <w:t>the court went above and beyond the legitimate expectation engendered by AG Wong’s representation that the PP</w:t>
      </w:r>
      <w:r w:rsidR="00675051" w:rsidRPr="00B62A35">
        <w:t xml:space="preserve"> would not prosecute sexual acts between two consenting adult men in private</w:t>
      </w:r>
      <w:r w:rsidR="00936C6F">
        <w:t>.</w:t>
      </w:r>
      <w:r w:rsidR="00936C6F">
        <w:rPr>
          <w:rStyle w:val="FootnoteReference"/>
        </w:rPr>
        <w:footnoteReference w:id="36"/>
      </w:r>
      <w:r w:rsidR="00936C6F">
        <w:t xml:space="preserve"> </w:t>
      </w:r>
      <w:r w:rsidR="005E4A70">
        <w:t>In other words</w:t>
      </w:r>
      <w:r w:rsidR="008766C8">
        <w:t xml:space="preserve">, even conduct caught by s 377A that does not </w:t>
      </w:r>
      <w:r w:rsidR="008766C8" w:rsidRPr="008766C8">
        <w:t xml:space="preserve">involve sexual acts between </w:t>
      </w:r>
      <w:r w:rsidR="008766C8" w:rsidRPr="008766C8">
        <w:lastRenderedPageBreak/>
        <w:t>consenting adult men in private</w:t>
      </w:r>
      <w:r w:rsidR="001B67AB">
        <w:t xml:space="preserve"> (</w:t>
      </w:r>
      <w:r w:rsidR="007762E6" w:rsidRPr="007762E6">
        <w:rPr>
          <w:i/>
          <w:iCs/>
        </w:rPr>
        <w:t>e.g</w:t>
      </w:r>
      <w:r w:rsidR="007762E6">
        <w:t xml:space="preserve">., </w:t>
      </w:r>
      <w:r w:rsidR="008766C8" w:rsidRPr="008766C8">
        <w:t xml:space="preserve">sexual conduct involving minors </w:t>
      </w:r>
      <w:r w:rsidR="007762E6">
        <w:t>or those</w:t>
      </w:r>
      <w:r w:rsidR="008766C8" w:rsidRPr="008766C8">
        <w:t xml:space="preserve"> occurring in </w:t>
      </w:r>
      <w:r w:rsidR="007762E6">
        <w:t>public</w:t>
      </w:r>
      <w:r w:rsidR="001B67AB">
        <w:t xml:space="preserve">) cannot be prosecuted under s 377A.  </w:t>
      </w:r>
    </w:p>
    <w:p w14:paraId="2B70B50A" w14:textId="177B36E6" w:rsidR="001067A5" w:rsidRDefault="001067A5" w:rsidP="00A91824">
      <w:pPr>
        <w:pStyle w:val="Cont-1"/>
      </w:pPr>
      <w:r>
        <w:t xml:space="preserve">Consequently, </w:t>
      </w:r>
      <w:r w:rsidRPr="001067A5">
        <w:t xml:space="preserve">prosecutions under provisions such as ss 119 and 176 of the PC </w:t>
      </w:r>
      <w:r>
        <w:t>cannot be</w:t>
      </w:r>
      <w:r w:rsidRPr="001067A5">
        <w:t xml:space="preserve"> instituted where the underlying offence is one under s 377A.</w:t>
      </w:r>
      <w:r>
        <w:t xml:space="preserve"> </w:t>
      </w:r>
      <w:r w:rsidR="00CA5707">
        <w:t>Furthermore</w:t>
      </w:r>
      <w:r>
        <w:t xml:space="preserve">, there is no breach of s 424 of the CPC </w:t>
      </w:r>
      <w:r w:rsidR="00FA74BE">
        <w:t>where a person is aware of the commission or the intention to commit an offence under s 377A.</w:t>
      </w:r>
      <w:r w:rsidR="00FA74BE">
        <w:rPr>
          <w:rStyle w:val="FootnoteReference"/>
        </w:rPr>
        <w:footnoteReference w:id="37"/>
      </w:r>
      <w:r w:rsidR="00FA74BE">
        <w:t xml:space="preserve"> </w:t>
      </w:r>
    </w:p>
    <w:p w14:paraId="1C53156F" w14:textId="0B1EDD73" w:rsidR="0075404E" w:rsidRDefault="00936C6F" w:rsidP="00A91824">
      <w:pPr>
        <w:pStyle w:val="Cont-1"/>
      </w:pPr>
      <w:r>
        <w:t xml:space="preserve">The Court explained </w:t>
      </w:r>
      <w:r w:rsidR="00CA5707">
        <w:t xml:space="preserve">that it held s 377A to be unenforceable in its entirely </w:t>
      </w:r>
      <w:r w:rsidR="0075404E">
        <w:t xml:space="preserve">for </w:t>
      </w:r>
      <w:r w:rsidR="008F7F46">
        <w:t>two</w:t>
      </w:r>
      <w:r w:rsidR="0075404E">
        <w:t xml:space="preserve"> reasons:</w:t>
      </w:r>
    </w:p>
    <w:p w14:paraId="37146124" w14:textId="5952355C" w:rsidR="00CA185E" w:rsidRDefault="00002C5D" w:rsidP="0075404E">
      <w:pPr>
        <w:pStyle w:val="Cont-2"/>
      </w:pPr>
      <w:r>
        <w:t xml:space="preserve"> </w:t>
      </w:r>
      <w:r w:rsidR="003C4245">
        <w:t xml:space="preserve">First, the holding that s 377A is unenforceable in its entirely is of modest consequence because it remains open for </w:t>
      </w:r>
      <w:r w:rsidR="00900EA4">
        <w:t xml:space="preserve">the </w:t>
      </w:r>
      <w:r w:rsidR="003C4245">
        <w:t>AG</w:t>
      </w:r>
      <w:r w:rsidR="00900EA4">
        <w:t xml:space="preserve"> of the day</w:t>
      </w:r>
      <w:r w:rsidR="003C4245">
        <w:t xml:space="preserve"> to declare that he no longer wishes to follow AG Wong’s 2018 representations.</w:t>
      </w:r>
    </w:p>
    <w:p w14:paraId="075DE4C7" w14:textId="01F5B702" w:rsidR="00285886" w:rsidRDefault="003C4245" w:rsidP="0075404E">
      <w:pPr>
        <w:pStyle w:val="Cont-2"/>
      </w:pPr>
      <w:r>
        <w:t xml:space="preserve">Second, </w:t>
      </w:r>
      <w:r w:rsidRPr="003C4245">
        <w:t xml:space="preserve">there is nothing to indicate that </w:t>
      </w:r>
      <w:r w:rsidR="00285886">
        <w:t xml:space="preserve">AG Wong, as PP, did not intend </w:t>
      </w:r>
      <w:r w:rsidR="001613B2">
        <w:t xml:space="preserve">to limit his prosecutorial policies to sexual acts </w:t>
      </w:r>
      <w:r w:rsidR="001613B2" w:rsidRPr="00CA4BDC">
        <w:t>between consenting adult men in private</w:t>
      </w:r>
      <w:r w:rsidR="001613B2">
        <w:t xml:space="preserve">. In any event, if the court were mistaken on this, it remains open for AG Wong to give </w:t>
      </w:r>
      <w:r w:rsidR="008F7F46">
        <w:t xml:space="preserve">actual notice that he does intend to prosecute </w:t>
      </w:r>
      <w:r w:rsidR="008F7F46" w:rsidRPr="00CA4BDC">
        <w:t>sexual acts</w:t>
      </w:r>
      <w:r w:rsidR="008F7F46">
        <w:t xml:space="preserve"> that are </w:t>
      </w:r>
      <w:r w:rsidR="008F7F46" w:rsidRPr="003D539D">
        <w:rPr>
          <w:i/>
          <w:iCs/>
        </w:rPr>
        <w:t>not</w:t>
      </w:r>
      <w:r w:rsidR="008F7F46" w:rsidRPr="00CA4BDC">
        <w:t xml:space="preserve"> between two consenting adult men in private</w:t>
      </w:r>
      <w:r w:rsidR="008F7F46">
        <w:t xml:space="preserve"> under s 377A.</w:t>
      </w:r>
      <w:r w:rsidR="008F7F46">
        <w:rPr>
          <w:rStyle w:val="FootnoteReference"/>
        </w:rPr>
        <w:footnoteReference w:id="38"/>
      </w:r>
      <w:r w:rsidR="008F7F46">
        <w:t xml:space="preserve"> </w:t>
      </w:r>
    </w:p>
    <w:p w14:paraId="3F575D8F" w14:textId="696C3C21" w:rsidR="001746C0" w:rsidRDefault="00080D02" w:rsidP="003E2C41">
      <w:pPr>
        <w:pStyle w:val="Cont-1"/>
        <w:numPr>
          <w:ilvl w:val="0"/>
          <w:numId w:val="0"/>
        </w:numPr>
      </w:pPr>
      <w:r>
        <w:t xml:space="preserve">More importantly, holding s 377A to be entirely unenforceable resolves the </w:t>
      </w:r>
      <w:r w:rsidR="001746C0">
        <w:t xml:space="preserve">legal uncertainties that have left homosexual </w:t>
      </w:r>
      <w:r w:rsidR="001746C0" w:rsidRPr="00A716E5">
        <w:t>men unable to plan their lives adequately</w:t>
      </w:r>
      <w:r w:rsidR="001746C0">
        <w:t>,</w:t>
      </w:r>
      <w:r w:rsidR="001746C0">
        <w:rPr>
          <w:rStyle w:val="FootnoteReference"/>
        </w:rPr>
        <w:footnoteReference w:id="39"/>
      </w:r>
      <w:r w:rsidR="00E5025B">
        <w:t xml:space="preserve"> </w:t>
      </w:r>
      <w:r w:rsidR="001746C0">
        <w:t>minimises the sense of harassment that might be felt by homosexual men,</w:t>
      </w:r>
      <w:r w:rsidR="0071516F">
        <w:rPr>
          <w:rStyle w:val="FootnoteReference"/>
        </w:rPr>
        <w:footnoteReference w:id="40"/>
      </w:r>
      <w:r w:rsidR="001746C0">
        <w:t xml:space="preserve"> and </w:t>
      </w:r>
      <w:r w:rsidR="00E5025B">
        <w:t>accords</w:t>
      </w:r>
      <w:r w:rsidR="001746C0">
        <w:t xml:space="preserve"> full legal effect to the political compromise</w:t>
      </w:r>
      <w:r w:rsidR="0071516F">
        <w:t>.</w:t>
      </w:r>
      <w:r w:rsidR="0071516F">
        <w:rPr>
          <w:rStyle w:val="FootnoteReference"/>
        </w:rPr>
        <w:footnoteReference w:id="41"/>
      </w:r>
    </w:p>
    <w:p w14:paraId="610E332E" w14:textId="53FDCAD1" w:rsidR="003E2C41" w:rsidRDefault="003E2C41" w:rsidP="003E2C41">
      <w:pPr>
        <w:pStyle w:val="Cont-1"/>
      </w:pPr>
      <w:r>
        <w:t xml:space="preserve">However, the Court of Appeal stressed that nothing in its holding affects the right of the police to investigate all conduct that may amount to an offence </w:t>
      </w:r>
      <w:r>
        <w:lastRenderedPageBreak/>
        <w:t>under s 377A.</w:t>
      </w:r>
      <w:r>
        <w:rPr>
          <w:rStyle w:val="FootnoteReference"/>
        </w:rPr>
        <w:footnoteReference w:id="42"/>
      </w:r>
      <w:r>
        <w:t xml:space="preserve"> Moreover, the court’s holding does not constrain the PP’s right to prosecute </w:t>
      </w:r>
      <w:r w:rsidRPr="00CA4BDC">
        <w:t>sexual acts</w:t>
      </w:r>
      <w:r>
        <w:t xml:space="preserve"> that are </w:t>
      </w:r>
      <w:r w:rsidRPr="003D539D">
        <w:rPr>
          <w:i/>
          <w:iCs/>
        </w:rPr>
        <w:t>not</w:t>
      </w:r>
      <w:r w:rsidRPr="00CA4BDC">
        <w:t xml:space="preserve"> between two consenting adult men in private</w:t>
      </w:r>
      <w:r>
        <w:t xml:space="preserve"> under other provisions</w:t>
      </w:r>
      <w:r w:rsidR="006324B3">
        <w:t>.</w:t>
      </w:r>
      <w:r w:rsidR="006324B3">
        <w:rPr>
          <w:rStyle w:val="FootnoteReference"/>
        </w:rPr>
        <w:footnoteReference w:id="43"/>
      </w:r>
    </w:p>
    <w:p w14:paraId="79F94701" w14:textId="03B27C98" w:rsidR="001746C0" w:rsidRDefault="003E2C41" w:rsidP="00A91824">
      <w:pPr>
        <w:pStyle w:val="Cont-1"/>
      </w:pPr>
      <w:r>
        <w:t>Given that s 377A is unenforceable in its entirety,</w:t>
      </w:r>
      <w:r w:rsidR="001746C0">
        <w:t xml:space="preserve"> the </w:t>
      </w:r>
      <w:r w:rsidR="004F716C">
        <w:t xml:space="preserve">Court of Appeal held that </w:t>
      </w:r>
      <w:r w:rsidR="00470A48">
        <w:t xml:space="preserve">the </w:t>
      </w:r>
      <w:r w:rsidR="001746C0">
        <w:t xml:space="preserve">appellants </w:t>
      </w:r>
      <w:r w:rsidR="0071516F">
        <w:t xml:space="preserve">cannot be said to face any real or credible threat of prosecution under s 377A and accordingly do not have standing to </w:t>
      </w:r>
      <w:proofErr w:type="spellStart"/>
      <w:r w:rsidR="0071516F">
        <w:t>challenge s</w:t>
      </w:r>
      <w:proofErr w:type="spellEnd"/>
      <w:r w:rsidR="0071516F">
        <w:t xml:space="preserve"> 377A’s constitutionality.</w:t>
      </w:r>
      <w:r w:rsidR="00E5025B">
        <w:rPr>
          <w:rStyle w:val="FootnoteReference"/>
        </w:rPr>
        <w:footnoteReference w:id="44"/>
      </w:r>
      <w:r w:rsidR="0071516F">
        <w:t xml:space="preserve"> </w:t>
      </w:r>
    </w:p>
    <w:p w14:paraId="32A45B50" w14:textId="3C5AC9DD" w:rsidR="00E5025B" w:rsidRDefault="009356F7" w:rsidP="009356F7">
      <w:pPr>
        <w:pStyle w:val="Hdg-1"/>
      </w:pPr>
      <w:r>
        <w:t>V.</w:t>
      </w:r>
      <w:r>
        <w:tab/>
        <w:t>Whether sexual orientation is immutable</w:t>
      </w:r>
    </w:p>
    <w:p w14:paraId="0897C6EF" w14:textId="32D7824E" w:rsidR="009356F7" w:rsidRDefault="0051109C" w:rsidP="009356F7">
      <w:pPr>
        <w:pStyle w:val="Cont-1"/>
      </w:pPr>
      <w:r>
        <w:t xml:space="preserve">The </w:t>
      </w:r>
      <w:r w:rsidR="00377AB4">
        <w:t>Court of Appeal</w:t>
      </w:r>
      <w:r>
        <w:t xml:space="preserve"> returned to consider </w:t>
      </w:r>
      <w:r w:rsidR="00377AB4">
        <w:t xml:space="preserve">Mr Ong and Dr Tan’s argument that sexual orientation is immutable. The court was of the view that it is not within </w:t>
      </w:r>
      <w:r w:rsidR="00D5055B">
        <w:t>its</w:t>
      </w:r>
      <w:r w:rsidR="00377AB4">
        <w:t xml:space="preserve"> </w:t>
      </w:r>
      <w:r w:rsidR="003A06A7">
        <w:t xml:space="preserve">remit to consider whether sexual orientation is immutable because it is a scientific </w:t>
      </w:r>
      <w:r w:rsidR="00D5055B">
        <w:t>matter</w:t>
      </w:r>
      <w:r w:rsidR="006E3C89">
        <w:t xml:space="preserve"> that is beyond the institutional competence of the courts.</w:t>
      </w:r>
      <w:r w:rsidR="006E3C89">
        <w:rPr>
          <w:rStyle w:val="FootnoteReference"/>
        </w:rPr>
        <w:footnoteReference w:id="45"/>
      </w:r>
      <w:r w:rsidR="006E3C89">
        <w:t xml:space="preserve"> The court </w:t>
      </w:r>
      <w:r w:rsidR="00D5055B">
        <w:t xml:space="preserve">reiterated that its function is to make findings on fact on the specific case before it, and not </w:t>
      </w:r>
      <w:r w:rsidR="00A13040">
        <w:t>make general pronouncements of scientific fact.</w:t>
      </w:r>
      <w:r w:rsidR="00A13040">
        <w:rPr>
          <w:rStyle w:val="FootnoteReference"/>
        </w:rPr>
        <w:footnoteReference w:id="46"/>
      </w:r>
    </w:p>
    <w:p w14:paraId="10AECA06" w14:textId="0D114FED" w:rsidR="00A13040" w:rsidRDefault="00A13040" w:rsidP="009356F7">
      <w:pPr>
        <w:pStyle w:val="Cont-1"/>
      </w:pPr>
      <w:r>
        <w:t xml:space="preserve">In any event, even if </w:t>
      </w:r>
      <w:r w:rsidRPr="00A13040">
        <w:t>sexual orientation is immutable</w:t>
      </w:r>
      <w:r>
        <w:t>, it does not follow that s 377A is unconstitutional. To illustrate this point, the court pointed to laws in which</w:t>
      </w:r>
      <w:r w:rsidR="000C1149">
        <w:t xml:space="preserve"> kleptomaniacs and paedophiles may violate. While kleptomania and paedophilia may be genetic and </w:t>
      </w:r>
      <w:r w:rsidR="003A5AE8">
        <w:t xml:space="preserve">kleptomaniac and </w:t>
      </w:r>
      <w:r w:rsidR="003A5AE8" w:rsidRPr="003A5AE8">
        <w:t>paedophilic attractions</w:t>
      </w:r>
      <w:r w:rsidR="003A5AE8">
        <w:t xml:space="preserve"> may be immutable, no one would seriously suggest that laws which criminalises theft and sex with minors as absurd and not “law” within Art 9(1) of the Constitution.</w:t>
      </w:r>
      <w:r w:rsidR="003A5AE8">
        <w:rPr>
          <w:rStyle w:val="FootnoteReference"/>
        </w:rPr>
        <w:footnoteReference w:id="47"/>
      </w:r>
      <w:r w:rsidR="003A5AE8">
        <w:t xml:space="preserve">  </w:t>
      </w:r>
    </w:p>
    <w:p w14:paraId="6C340133" w14:textId="55231294" w:rsidR="003A5AE8" w:rsidRDefault="003C2055" w:rsidP="003C2055">
      <w:pPr>
        <w:pStyle w:val="Hdg-1"/>
      </w:pPr>
      <w:r>
        <w:lastRenderedPageBreak/>
        <w:t>V</w:t>
      </w:r>
      <w:r w:rsidR="00CF390C">
        <w:t>I</w:t>
      </w:r>
      <w:r>
        <w:t>.</w:t>
      </w:r>
      <w:r>
        <w:tab/>
        <w:t>The proper interpretation of s 377A</w:t>
      </w:r>
    </w:p>
    <w:p w14:paraId="4FE721CA" w14:textId="01CD03A3" w:rsidR="003C2055" w:rsidRDefault="003C2055" w:rsidP="003C2055">
      <w:pPr>
        <w:pStyle w:val="Cont-1"/>
      </w:pPr>
      <w:r>
        <w:t xml:space="preserve">Next, the court turned to the proper interpretation of s 377A. This was in response to Mr Choong’s contention that </w:t>
      </w:r>
      <w:r w:rsidRPr="00567A24">
        <w:t>s 377A was only intended to cover nonpenetrative sex acts between men</w:t>
      </w:r>
      <w:r w:rsidR="007A7051">
        <w:t xml:space="preserve"> because the purpose of s 377A was to suppress male prostitution</w:t>
      </w:r>
      <w:r>
        <w:t>.</w:t>
      </w:r>
      <w:r w:rsidR="007A7051">
        <w:rPr>
          <w:rStyle w:val="FootnoteReference"/>
        </w:rPr>
        <w:footnoteReference w:id="48"/>
      </w:r>
      <w:r>
        <w:t xml:space="preserve"> </w:t>
      </w:r>
      <w:r w:rsidR="00BA2530">
        <w:t xml:space="preserve">To interpret s 377A, the court applied the </w:t>
      </w:r>
      <w:r w:rsidR="00BA2530" w:rsidRPr="00BA2530">
        <w:rPr>
          <w:i/>
          <w:iCs/>
        </w:rPr>
        <w:t>Tan Cheng Bock</w:t>
      </w:r>
      <w:r w:rsidR="00BA2530">
        <w:t xml:space="preserve"> framework.</w:t>
      </w:r>
      <w:r w:rsidR="00BA2530">
        <w:rPr>
          <w:rStyle w:val="FootnoteReference"/>
        </w:rPr>
        <w:footnoteReference w:id="49"/>
      </w:r>
      <w:r>
        <w:t xml:space="preserve"> </w:t>
      </w:r>
    </w:p>
    <w:p w14:paraId="311145DA" w14:textId="740AC67E" w:rsidR="00F046CE" w:rsidRDefault="00F046CE" w:rsidP="00F046CE">
      <w:pPr>
        <w:pStyle w:val="Hdg-2"/>
      </w:pPr>
      <w:r>
        <w:t>A.</w:t>
      </w:r>
      <w:r>
        <w:tab/>
        <w:t>“Gross indecency”</w:t>
      </w:r>
    </w:p>
    <w:p w14:paraId="5AA844F2" w14:textId="5C6DCE2D" w:rsidR="00072E06" w:rsidRDefault="00072E06" w:rsidP="00072E06">
      <w:pPr>
        <w:pStyle w:val="Cont-1"/>
      </w:pPr>
      <w:r>
        <w:t xml:space="preserve">With respect to the term “gross indecency”, the Court of Appeal held that, on a plain reading, it did not make sense for “gross indecency” to be </w:t>
      </w:r>
      <w:r w:rsidRPr="00BD3130">
        <w:t>limited to non-penetrative sex acts</w:t>
      </w:r>
      <w:r>
        <w:t>. It</w:t>
      </w:r>
      <w:r w:rsidRPr="00BD3130">
        <w:t xml:space="preserve"> must extend to penetrative sex acts.</w:t>
      </w:r>
      <w:r>
        <w:t xml:space="preserve"> Moreover, </w:t>
      </w:r>
      <w:r w:rsidRPr="00BD3130">
        <w:t xml:space="preserve">the ordinary meaning of the term “gross indecency” </w:t>
      </w:r>
      <w:r>
        <w:t>is not limited</w:t>
      </w:r>
      <w:r w:rsidRPr="00BD3130">
        <w:t xml:space="preserve"> to male prostitution</w:t>
      </w:r>
      <w:r>
        <w:t>, contrary to the appellant’s suggestion.</w:t>
      </w:r>
      <w:r>
        <w:rPr>
          <w:rStyle w:val="FootnoteReference"/>
        </w:rPr>
        <w:footnoteReference w:id="50"/>
      </w:r>
      <w:r>
        <w:t xml:space="preserve"> </w:t>
      </w:r>
    </w:p>
    <w:p w14:paraId="7B8B7EAB" w14:textId="7B75EE24" w:rsidR="00F046CE" w:rsidRDefault="00F046CE" w:rsidP="00F046CE">
      <w:pPr>
        <w:pStyle w:val="Hdg-2"/>
      </w:pPr>
      <w:r>
        <w:t>B.</w:t>
      </w:r>
      <w:r>
        <w:tab/>
        <w:t>Legislative purpose of s 377A</w:t>
      </w:r>
    </w:p>
    <w:p w14:paraId="6ADA3A1E" w14:textId="3A4F8C4A" w:rsidR="00881D5A" w:rsidRDefault="001B6193" w:rsidP="00881D5A">
      <w:pPr>
        <w:pStyle w:val="Cont-1"/>
      </w:pPr>
      <w:r>
        <w:t>F</w:t>
      </w:r>
      <w:r w:rsidR="00B72A02">
        <w:t xml:space="preserve">rom </w:t>
      </w:r>
      <w:r w:rsidR="00B72A02" w:rsidRPr="00B72A02">
        <w:t xml:space="preserve">the </w:t>
      </w:r>
      <w:r w:rsidR="00B72A02">
        <w:t xml:space="preserve">plain </w:t>
      </w:r>
      <w:r w:rsidR="00B72A02" w:rsidRPr="00B72A02">
        <w:t xml:space="preserve">text of </w:t>
      </w:r>
      <w:r w:rsidR="00B72A02">
        <w:t>s 377A</w:t>
      </w:r>
      <w:r w:rsidR="00B72A02" w:rsidRPr="00B72A02">
        <w:t xml:space="preserve"> in its statutory context</w:t>
      </w:r>
      <w:r w:rsidR="00B72A02">
        <w:t xml:space="preserve">, the Court of Appeal </w:t>
      </w:r>
      <w:r w:rsidR="00F046CE">
        <w:t>held</w:t>
      </w:r>
      <w:r w:rsidR="00B72A02">
        <w:t xml:space="preserve"> that </w:t>
      </w:r>
      <w:r w:rsidR="00B72A02" w:rsidRPr="00B72A02">
        <w:t>the legislative purpose of s 377A was to safeguard public morals</w:t>
      </w:r>
      <w:r w:rsidR="00B72A02">
        <w:t xml:space="preserve">. Even though </w:t>
      </w:r>
      <w:r w:rsidR="00675B43">
        <w:t xml:space="preserve">s 377A is found under </w:t>
      </w:r>
      <w:r w:rsidR="00675B43" w:rsidRPr="00675B43">
        <w:t>Chapter XVI of the PC which covers “Offences affecting the human body”</w:t>
      </w:r>
      <w:r w:rsidR="00675B43">
        <w:t xml:space="preserve">, </w:t>
      </w:r>
      <w:r w:rsidR="00675B43" w:rsidRPr="00675B43">
        <w:t>it is situated between the offences of sexual penetration of a corpse and sexual penetration with a living animal.</w:t>
      </w:r>
      <w:r w:rsidR="00675B43">
        <w:t xml:space="preserve"> This suggests that the purpose of s 377A is to uphold public morality, and s 377A was not simply concerned with the protection of bodily integrity.</w:t>
      </w:r>
      <w:r w:rsidR="00675B43">
        <w:rPr>
          <w:rStyle w:val="FootnoteReference"/>
        </w:rPr>
        <w:footnoteReference w:id="51"/>
      </w:r>
      <w:r w:rsidR="00881D5A">
        <w:t xml:space="preserve"> </w:t>
      </w:r>
    </w:p>
    <w:p w14:paraId="17290C44" w14:textId="77777777" w:rsidR="008753D9" w:rsidRDefault="001B6193" w:rsidP="007512A0">
      <w:pPr>
        <w:pStyle w:val="Cont-1"/>
      </w:pPr>
      <w:r>
        <w:t xml:space="preserve">With respect to </w:t>
      </w:r>
      <w:r w:rsidR="007512A0">
        <w:t xml:space="preserve">counsel for </w:t>
      </w:r>
      <w:r w:rsidR="001E0299">
        <w:t>Mr Choong’s</w:t>
      </w:r>
      <w:r>
        <w:t xml:space="preserve"> reliance on extraneous material, the Court of Appeal reiterated that extraneous material can only be </w:t>
      </w:r>
      <w:r>
        <w:lastRenderedPageBreak/>
        <w:t xml:space="preserve">used to </w:t>
      </w:r>
      <w:r w:rsidRPr="001B6193">
        <w:t>confirm, and not to alter or supplant, that plain meaning</w:t>
      </w:r>
      <w:r>
        <w:t xml:space="preserve"> of </w:t>
      </w:r>
      <w:r w:rsidR="00881D5A">
        <w:t>s 377A.</w:t>
      </w:r>
      <w:r w:rsidR="00881D5A">
        <w:rPr>
          <w:rStyle w:val="FootnoteReference"/>
        </w:rPr>
        <w:footnoteReference w:id="52"/>
      </w:r>
      <w:r w:rsidR="00881D5A">
        <w:t xml:space="preserve"> But </w:t>
      </w:r>
      <w:r w:rsidR="001A5E67">
        <w:t xml:space="preserve">in the court’s judgment, </w:t>
      </w:r>
      <w:r w:rsidR="00881D5A">
        <w:t xml:space="preserve">s 377A </w:t>
      </w:r>
      <w:r w:rsidR="001A5E67">
        <w:t>was not ambiguous on its face.</w:t>
      </w:r>
      <w:r w:rsidR="001A5E67">
        <w:rPr>
          <w:rStyle w:val="FootnoteReference"/>
        </w:rPr>
        <w:footnoteReference w:id="53"/>
      </w:r>
      <w:r w:rsidR="001A5E67">
        <w:t xml:space="preserve"> </w:t>
      </w:r>
    </w:p>
    <w:p w14:paraId="1FA9721B" w14:textId="77777777" w:rsidR="00292E7E" w:rsidRDefault="001A5E67" w:rsidP="007512A0">
      <w:pPr>
        <w:pStyle w:val="Cont-1"/>
      </w:pPr>
      <w:r>
        <w:t xml:space="preserve">Moreover, </w:t>
      </w:r>
      <w:r w:rsidR="001E0299">
        <w:t xml:space="preserve">there was a contradiction in Mr Choong’s </w:t>
      </w:r>
      <w:r w:rsidR="00FA4961">
        <w:t>submissions</w:t>
      </w:r>
      <w:r w:rsidR="007A7051">
        <w:t xml:space="preserve"> because if the court were to accept that </w:t>
      </w:r>
      <w:r w:rsidR="00395CEC">
        <w:t xml:space="preserve">the purpose of s 377A was indeed to tackle male prostitution, </w:t>
      </w:r>
      <w:r w:rsidR="00FA4961">
        <w:t xml:space="preserve">then </w:t>
      </w:r>
      <w:r w:rsidR="00395CEC">
        <w:t xml:space="preserve">this would entail the </w:t>
      </w:r>
      <w:r w:rsidR="00395CEC" w:rsidRPr="00395CEC">
        <w:t>criminalisation of penetrative sex acts.</w:t>
      </w:r>
      <w:r w:rsidR="00395CEC">
        <w:t xml:space="preserve"> Yet, the conclusion that </w:t>
      </w:r>
      <w:r w:rsidR="007512A0">
        <w:t xml:space="preserve">counsel for </w:t>
      </w:r>
      <w:r w:rsidR="00395CEC">
        <w:t xml:space="preserve">Mr Choong wished to draw was that s 377A </w:t>
      </w:r>
      <w:r w:rsidR="00395CEC" w:rsidRPr="00395CEC">
        <w:t>was not concerned with penetrative sex acts at all.</w:t>
      </w:r>
      <w:r w:rsidR="00FA4961">
        <w:rPr>
          <w:rStyle w:val="FootnoteReference"/>
        </w:rPr>
        <w:footnoteReference w:id="54"/>
      </w:r>
      <w:r w:rsidR="007512A0">
        <w:t xml:space="preserve"> </w:t>
      </w:r>
    </w:p>
    <w:p w14:paraId="3D8E6364" w14:textId="1E75ED26" w:rsidR="007512A0" w:rsidRDefault="00FA4961" w:rsidP="007512A0">
      <w:pPr>
        <w:pStyle w:val="Cont-1"/>
      </w:pPr>
      <w:r>
        <w:t xml:space="preserve">Nevertheless, the court </w:t>
      </w:r>
      <w:r w:rsidR="009A3928">
        <w:t>proceeded to analyse the extraneous material relied upon by Mr Choong</w:t>
      </w:r>
      <w:r w:rsidR="007512A0">
        <w:t>’s counsel</w:t>
      </w:r>
      <w:r w:rsidR="009A3928">
        <w:t xml:space="preserve">. </w:t>
      </w:r>
      <w:r w:rsidR="00B32746">
        <w:t xml:space="preserve">However, after considering all the extraneous material, the Court of Appeal found that </w:t>
      </w:r>
      <w:r w:rsidR="00B32746" w:rsidRPr="00B32746">
        <w:t>the legislative purpose of s 377A was not to stamp out male prostitution but to safeguard public morals generally.</w:t>
      </w:r>
      <w:r w:rsidR="00016B88">
        <w:rPr>
          <w:rStyle w:val="FootnoteReference"/>
        </w:rPr>
        <w:footnoteReference w:id="55"/>
      </w:r>
      <w:r w:rsidR="00B32746">
        <w:t xml:space="preserve"> </w:t>
      </w:r>
    </w:p>
    <w:p w14:paraId="1222CCE2" w14:textId="1F493DE3" w:rsidR="00016B88" w:rsidRDefault="00FD2159" w:rsidP="00FD2159">
      <w:pPr>
        <w:pStyle w:val="Hdg-1"/>
      </w:pPr>
      <w:r>
        <w:t>VI</w:t>
      </w:r>
      <w:r w:rsidR="00CF390C">
        <w:t>I</w:t>
      </w:r>
      <w:r>
        <w:t>.</w:t>
      </w:r>
      <w:r>
        <w:tab/>
        <w:t>Whether s 377A is unconstitutional</w:t>
      </w:r>
    </w:p>
    <w:p w14:paraId="3B9FAD28" w14:textId="5869BE41" w:rsidR="00FD2159" w:rsidRPr="00FD2159" w:rsidRDefault="001A0809" w:rsidP="00FD2159">
      <w:pPr>
        <w:pStyle w:val="Cont-1"/>
      </w:pPr>
      <w:r>
        <w:t xml:space="preserve">As mentioned above, the Court of Appeal held that the appellants do not have standing to </w:t>
      </w:r>
      <w:proofErr w:type="spellStart"/>
      <w:r>
        <w:t>challenge s</w:t>
      </w:r>
      <w:proofErr w:type="spellEnd"/>
      <w:r>
        <w:t xml:space="preserve"> 377A’s constitutionality. Nonetheless, the court proceeded to express its views on</w:t>
      </w:r>
      <w:r w:rsidR="001B0226">
        <w:t xml:space="preserve"> the constitutionality of s 377A in </w:t>
      </w:r>
      <w:r w:rsidR="001B0226" w:rsidRPr="001B0226">
        <w:rPr>
          <w:i/>
          <w:iCs/>
        </w:rPr>
        <w:t>obiter</w:t>
      </w:r>
      <w:r w:rsidR="001B0226">
        <w:t>.</w:t>
      </w:r>
      <w:r>
        <w:t xml:space="preserve"> </w:t>
      </w:r>
    </w:p>
    <w:p w14:paraId="10A07A61" w14:textId="586C1E8F" w:rsidR="00FD2159" w:rsidRDefault="00FD2159" w:rsidP="00FD2159">
      <w:pPr>
        <w:pStyle w:val="Hdg-2"/>
      </w:pPr>
      <w:r>
        <w:t>A.</w:t>
      </w:r>
      <w:r>
        <w:tab/>
        <w:t>Article 9</w:t>
      </w:r>
    </w:p>
    <w:p w14:paraId="03639945" w14:textId="4E3DA29C" w:rsidR="00FD2159" w:rsidRDefault="001B0226" w:rsidP="00FD2159">
      <w:pPr>
        <w:pStyle w:val="Cont-1"/>
      </w:pPr>
      <w:r>
        <w:t xml:space="preserve">The court was of the view that s 377A does not violate Art 9 of the Constitution because Art 9 was concerned with </w:t>
      </w:r>
      <w:r w:rsidRPr="001B0226">
        <w:t>procedural safeguards in respect of the arrest and detention of persons.</w:t>
      </w:r>
      <w:r w:rsidR="00A22E0C">
        <w:rPr>
          <w:rStyle w:val="FootnoteReference"/>
        </w:rPr>
        <w:footnoteReference w:id="56"/>
      </w:r>
      <w:r w:rsidR="00A22E0C">
        <w:t xml:space="preserve"> </w:t>
      </w:r>
      <w:r w:rsidR="00933618">
        <w:t>Accordingly, t</w:t>
      </w:r>
      <w:r w:rsidR="00A22E0C">
        <w:t xml:space="preserve">he words </w:t>
      </w:r>
      <w:r w:rsidR="00A22E0C" w:rsidRPr="00A22E0C">
        <w:t>“life or personal liberty”</w:t>
      </w:r>
      <w:r w:rsidR="00A22E0C">
        <w:t xml:space="preserve"> does not contain unremunerated rights such as </w:t>
      </w:r>
      <w:r w:rsidR="00A22E0C" w:rsidRPr="00A22E0C">
        <w:t>the freedom to express one’s sexual identity</w:t>
      </w:r>
      <w:r w:rsidR="00933618">
        <w:t>.</w:t>
      </w:r>
      <w:r w:rsidR="00933618">
        <w:rPr>
          <w:rStyle w:val="FootnoteReference"/>
        </w:rPr>
        <w:footnoteReference w:id="57"/>
      </w:r>
    </w:p>
    <w:p w14:paraId="4C9FAE05" w14:textId="777E07F4" w:rsidR="004A34E0" w:rsidRDefault="00933618" w:rsidP="00852E2D">
      <w:pPr>
        <w:pStyle w:val="Cont-1"/>
      </w:pPr>
      <w:r>
        <w:lastRenderedPageBreak/>
        <w:t xml:space="preserve">In response to the argument that s 377A was “absurd” and therefore not “law” within the meaning of Art 9, </w:t>
      </w:r>
      <w:r w:rsidR="00DF0727">
        <w:t xml:space="preserve">the Court opined that </w:t>
      </w:r>
      <w:r w:rsidR="004A34E0">
        <w:t xml:space="preserve">the purpose of the “absurdity” test is to </w:t>
      </w:r>
      <w:r w:rsidR="004A34E0" w:rsidRPr="00DF0727">
        <w:t>secure the right to a fair process in the context of a possible deprivation of life or personal liberty</w:t>
      </w:r>
      <w:r w:rsidR="004A34E0">
        <w:t xml:space="preserve"> and therefore procedural in nature.</w:t>
      </w:r>
      <w:r w:rsidR="004A34E0">
        <w:rPr>
          <w:rStyle w:val="FootnoteReference"/>
        </w:rPr>
        <w:footnoteReference w:id="58"/>
      </w:r>
      <w:r w:rsidR="004A34E0">
        <w:t xml:space="preserve"> </w:t>
      </w:r>
      <w:r w:rsidR="00852E2D">
        <w:t>This is in contradistinction to a substantive test which imports moral considerations.</w:t>
      </w:r>
      <w:r w:rsidR="00852E2D">
        <w:rPr>
          <w:rStyle w:val="FootnoteReference"/>
        </w:rPr>
        <w:footnoteReference w:id="59"/>
      </w:r>
      <w:r w:rsidR="00852E2D">
        <w:t xml:space="preserve"> </w:t>
      </w:r>
      <w:r w:rsidR="006E3E71">
        <w:t xml:space="preserve">The court was therefore unable to </w:t>
      </w:r>
      <w:r w:rsidR="006E3E71" w:rsidRPr="006E3E71">
        <w:t>examine the substantive content of s 377A</w:t>
      </w:r>
      <w:r w:rsidR="006E3E71">
        <w:t>. Since n</w:t>
      </w:r>
      <w:r w:rsidR="00852E2D">
        <w:t xml:space="preserve">one of the appellants have suggested that </w:t>
      </w:r>
      <w:r w:rsidR="00852E2D" w:rsidRPr="00852E2D">
        <w:t>s 377A infringes any procedural rights</w:t>
      </w:r>
      <w:r w:rsidR="006E3E71">
        <w:t xml:space="preserve">, it follows that </w:t>
      </w:r>
      <w:r w:rsidR="00852E2D">
        <w:t>s 377A is not “absurd”.</w:t>
      </w:r>
      <w:r w:rsidR="00852E2D">
        <w:rPr>
          <w:rStyle w:val="FootnoteReference"/>
        </w:rPr>
        <w:footnoteReference w:id="60"/>
      </w:r>
    </w:p>
    <w:p w14:paraId="39042536" w14:textId="6287C588" w:rsidR="006E3E71" w:rsidRDefault="005B4C61" w:rsidP="00852E2D">
      <w:pPr>
        <w:pStyle w:val="Cont-1"/>
      </w:pPr>
      <w:r>
        <w:t xml:space="preserve">In any event, even if a substantive test of “absurdity” is adopted, s 377A is not absurd because </w:t>
      </w:r>
      <w:r w:rsidRPr="005B4C61">
        <w:t>many reasonable people do in fact see s 377A as being morally justified</w:t>
      </w:r>
      <w:r>
        <w:t>.</w:t>
      </w:r>
      <w:r>
        <w:rPr>
          <w:rStyle w:val="FootnoteReference"/>
        </w:rPr>
        <w:footnoteReference w:id="61"/>
      </w:r>
      <w:r>
        <w:t xml:space="preserve"> Moreover, it is untenable to suggest that </w:t>
      </w:r>
      <w:r w:rsidRPr="005B4C61">
        <w:t>the Government can never regulate against immutable characteristics</w:t>
      </w:r>
      <w:r>
        <w:t>.</w:t>
      </w:r>
      <w:r>
        <w:rPr>
          <w:rStyle w:val="FootnoteReference"/>
        </w:rPr>
        <w:footnoteReference w:id="62"/>
      </w:r>
    </w:p>
    <w:p w14:paraId="584DB050" w14:textId="42B75DC5" w:rsidR="006E3E71" w:rsidRDefault="006E3E71" w:rsidP="006E3E71">
      <w:pPr>
        <w:pStyle w:val="Hdg-2"/>
      </w:pPr>
      <w:r>
        <w:t>B.</w:t>
      </w:r>
      <w:r>
        <w:tab/>
        <w:t>Article 14</w:t>
      </w:r>
    </w:p>
    <w:p w14:paraId="39121DF2" w14:textId="2F9CF1FF" w:rsidR="006E3E71" w:rsidRDefault="00E04CB7" w:rsidP="001F2C15">
      <w:pPr>
        <w:pStyle w:val="Cont-1"/>
      </w:pPr>
      <w:r>
        <w:t xml:space="preserve">Mr Choong and Dr Tan contended that </w:t>
      </w:r>
      <w:r w:rsidR="00F22A67">
        <w:t xml:space="preserve">the </w:t>
      </w:r>
      <w:r w:rsidR="005703F8">
        <w:t>word “expression” in</w:t>
      </w:r>
      <w:r w:rsidR="00F22A67">
        <w:t xml:space="preserve"> “</w:t>
      </w:r>
      <w:r w:rsidR="00F22A67" w:rsidRPr="00F22A67">
        <w:t xml:space="preserve">freedom </w:t>
      </w:r>
      <w:r w:rsidR="005703F8">
        <w:t xml:space="preserve">speech and </w:t>
      </w:r>
      <w:r w:rsidR="00F22A67" w:rsidRPr="00F22A67">
        <w:t>expression” in Art 14(1)(a)</w:t>
      </w:r>
      <w:r w:rsidR="00F22A67">
        <w:t xml:space="preserve"> includes acts of sexual intimacy.</w:t>
      </w:r>
      <w:r w:rsidR="00F22A67">
        <w:rPr>
          <w:rStyle w:val="FootnoteReference"/>
        </w:rPr>
        <w:footnoteReference w:id="63"/>
      </w:r>
      <w:r w:rsidR="005703F8">
        <w:t xml:space="preserve"> However, the Court of Appeal </w:t>
      </w:r>
      <w:r w:rsidR="005D6B30">
        <w:t xml:space="preserve">disagreed with such an interpretation as the primary right </w:t>
      </w:r>
      <w:r w:rsidR="005D6B30" w:rsidRPr="005D6B30">
        <w:t xml:space="preserve">protected </w:t>
      </w:r>
      <w:r w:rsidR="005D6B30">
        <w:t>under Art 14(1)(a)</w:t>
      </w:r>
      <w:r w:rsidR="005D6B30" w:rsidRPr="005D6B30">
        <w:t xml:space="preserve"> is “freedom of speech” and not “freedom of expression”.</w:t>
      </w:r>
      <w:r w:rsidR="001F2C15">
        <w:rPr>
          <w:rStyle w:val="FootnoteReference"/>
        </w:rPr>
        <w:footnoteReference w:id="64"/>
      </w:r>
      <w:r w:rsidR="001F2C15">
        <w:t xml:space="preserve"> </w:t>
      </w:r>
      <w:r w:rsidR="005D6B30">
        <w:t>First, t</w:t>
      </w:r>
      <w:r w:rsidR="005D6B30" w:rsidRPr="005D6B30">
        <w:t>he marginal note to Art 14 reads</w:t>
      </w:r>
      <w:r w:rsidR="005D6B30">
        <w:t xml:space="preserve">, </w:t>
      </w:r>
      <w:r w:rsidR="005D6B30" w:rsidRPr="005D6B30">
        <w:t>“Freedom of speech, assembly and association</w:t>
      </w:r>
      <w:r w:rsidR="005D6B30">
        <w:t xml:space="preserve">” and </w:t>
      </w:r>
      <w:r w:rsidR="005D6B30" w:rsidRPr="005D6B30">
        <w:t>omits any mention of “freedom of expression” and focuses solely on “freedom of speech”.</w:t>
      </w:r>
      <w:r w:rsidR="001F2C15">
        <w:rPr>
          <w:rStyle w:val="FootnoteReference"/>
        </w:rPr>
        <w:footnoteReference w:id="65"/>
      </w:r>
      <w:r w:rsidR="000D5096">
        <w:t xml:space="preserve"> </w:t>
      </w:r>
      <w:r w:rsidR="001F2C15">
        <w:t xml:space="preserve">Second, </w:t>
      </w:r>
      <w:r w:rsidR="00AD08AE">
        <w:t>interpreting the term “expression” in context, it is meant to qualify and describe</w:t>
      </w:r>
      <w:r w:rsidR="00AD08AE" w:rsidRPr="00AD08AE">
        <w:t xml:space="preserve"> the fundamental right enshrined in Art 14(1)(a)</w:t>
      </w:r>
      <w:r w:rsidR="00AD08AE">
        <w:t xml:space="preserve">, </w:t>
      </w:r>
      <w:r w:rsidR="00AD08AE" w:rsidRPr="000D5096">
        <w:rPr>
          <w:i/>
          <w:iCs/>
        </w:rPr>
        <w:t>viz</w:t>
      </w:r>
      <w:r w:rsidR="00AD08AE">
        <w:t>. freedom of speech</w:t>
      </w:r>
      <w:r w:rsidR="000D5096">
        <w:t>.</w:t>
      </w:r>
      <w:r w:rsidR="000D5096">
        <w:rPr>
          <w:rStyle w:val="FootnoteReference"/>
        </w:rPr>
        <w:footnoteReference w:id="66"/>
      </w:r>
      <w:r w:rsidR="00FA6841">
        <w:t xml:space="preserve"> Third, a </w:t>
      </w:r>
      <w:r w:rsidR="00FA6841">
        <w:lastRenderedPageBreak/>
        <w:t xml:space="preserve">wide reading of the term “expression” </w:t>
      </w:r>
      <w:r w:rsidR="00471AE0">
        <w:t xml:space="preserve">would produce an impossible state of affairs </w:t>
      </w:r>
      <w:r w:rsidR="00CD1740">
        <w:t>because v</w:t>
      </w:r>
      <w:r w:rsidR="00CD1740" w:rsidRPr="00CD1740">
        <w:t>irtually any act that purports to convey meaning, opinions, beliefs or ideas</w:t>
      </w:r>
      <w:r w:rsidR="00CD1740">
        <w:t xml:space="preserve"> </w:t>
      </w:r>
      <w:r w:rsidR="00900E1B">
        <w:t>could</w:t>
      </w:r>
      <w:r w:rsidR="00CD1740">
        <w:t xml:space="preserve"> </w:t>
      </w:r>
      <w:r w:rsidR="00900E1B">
        <w:t>fall under Art 14(1)(a)</w:t>
      </w:r>
      <w:r w:rsidR="00471AE0">
        <w:t>.</w:t>
      </w:r>
      <w:r w:rsidR="00471AE0">
        <w:rPr>
          <w:rStyle w:val="FootnoteReference"/>
        </w:rPr>
        <w:footnoteReference w:id="67"/>
      </w:r>
      <w:r w:rsidR="00900E1B">
        <w:t xml:space="preserve"> </w:t>
      </w:r>
    </w:p>
    <w:p w14:paraId="32FC8068" w14:textId="5C93FB12" w:rsidR="00471AE0" w:rsidRDefault="00A51818" w:rsidP="00A51818">
      <w:pPr>
        <w:pStyle w:val="Hdg-3"/>
      </w:pPr>
      <w:r>
        <w:t>(1)</w:t>
      </w:r>
      <w:r>
        <w:tab/>
        <w:t>Chilling effect on gay rights advocacy</w:t>
      </w:r>
    </w:p>
    <w:p w14:paraId="3413D468" w14:textId="05CCC511" w:rsidR="00A51818" w:rsidRDefault="00A51818" w:rsidP="00A51818">
      <w:pPr>
        <w:pStyle w:val="Cont-1"/>
      </w:pPr>
      <w:r>
        <w:t>The court also rejected Dr Tan’s contention that the existence of s 377A produces a c</w:t>
      </w:r>
      <w:r w:rsidRPr="00A51818">
        <w:t>hilling effect on gay rights advocacy</w:t>
      </w:r>
      <w:r>
        <w:t xml:space="preserve"> thereby violating the right to freedom of speech under Art 14(1)(a).</w:t>
      </w:r>
      <w:r>
        <w:rPr>
          <w:rStyle w:val="FootnoteReference"/>
        </w:rPr>
        <w:footnoteReference w:id="68"/>
      </w:r>
      <w:r>
        <w:t xml:space="preserve"> Three reasons were given</w:t>
      </w:r>
      <w:r w:rsidR="00455E3F">
        <w:t>:</w:t>
      </w:r>
    </w:p>
    <w:p w14:paraId="1BB0D85F" w14:textId="0167E599" w:rsidR="00455E3F" w:rsidRDefault="00455E3F" w:rsidP="00455E3F">
      <w:pPr>
        <w:pStyle w:val="Cont-2"/>
      </w:pPr>
      <w:r>
        <w:t xml:space="preserve">First, the mere fact that a particular activity is illegal does not </w:t>
      </w:r>
      <w:r w:rsidRPr="00455E3F">
        <w:rPr>
          <w:i/>
          <w:iCs/>
        </w:rPr>
        <w:t>ipso facto</w:t>
      </w:r>
      <w:r>
        <w:t xml:space="preserve"> create a chilling effect on the advocacy of that activity. </w:t>
      </w:r>
      <w:r w:rsidR="00B41B5B">
        <w:t xml:space="preserve">For instance, </w:t>
      </w:r>
      <w:r w:rsidR="00B41B5B" w:rsidRPr="00B41B5B">
        <w:t>Pink Dot Singapore</w:t>
      </w:r>
      <w:r w:rsidR="00B41B5B">
        <w:t xml:space="preserve">, a pro-LGBTQ event, </w:t>
      </w:r>
      <w:r w:rsidR="00780DE1">
        <w:t xml:space="preserve">had </w:t>
      </w:r>
      <w:r w:rsidR="00B41B5B">
        <w:t>been held annually.</w:t>
      </w:r>
      <w:r w:rsidR="00B41B5B">
        <w:rPr>
          <w:rStyle w:val="FootnoteReference"/>
        </w:rPr>
        <w:footnoteReference w:id="69"/>
      </w:r>
      <w:r w:rsidR="00B41B5B">
        <w:t xml:space="preserve"> </w:t>
      </w:r>
      <w:r>
        <w:t xml:space="preserve"> </w:t>
      </w:r>
    </w:p>
    <w:p w14:paraId="3149A30A" w14:textId="54FBABA3" w:rsidR="00D627CF" w:rsidRDefault="00B41B5B" w:rsidP="00455E3F">
      <w:pPr>
        <w:pStyle w:val="Cont-2"/>
      </w:pPr>
      <w:r>
        <w:t xml:space="preserve">Second, </w:t>
      </w:r>
      <w:r w:rsidR="00D627CF" w:rsidRPr="00D627CF">
        <w:t>general societal attitudes</w:t>
      </w:r>
      <w:r w:rsidR="00D627CF">
        <w:t xml:space="preserve"> and not s 377A are the </w:t>
      </w:r>
      <w:r w:rsidR="008D08D4">
        <w:t xml:space="preserve">likely </w:t>
      </w:r>
      <w:r w:rsidR="00D627CF">
        <w:t xml:space="preserve">cause of </w:t>
      </w:r>
      <w:r w:rsidR="00D627CF" w:rsidRPr="00B41B5B">
        <w:t>any chilling effect on gay rights advocacy</w:t>
      </w:r>
      <w:r w:rsidR="008D08D4">
        <w:t>.</w:t>
      </w:r>
      <w:r w:rsidR="008D08D4">
        <w:rPr>
          <w:rStyle w:val="FootnoteReference"/>
        </w:rPr>
        <w:footnoteReference w:id="70"/>
      </w:r>
    </w:p>
    <w:p w14:paraId="32D16896" w14:textId="32E7A7E7" w:rsidR="00B41B5B" w:rsidRDefault="008D08D4" w:rsidP="00455E3F">
      <w:pPr>
        <w:pStyle w:val="Cont-2"/>
      </w:pPr>
      <w:r>
        <w:t xml:space="preserve">Third, in the final analysis, </w:t>
      </w:r>
      <w:r w:rsidRPr="008D08D4">
        <w:t>the claim that s 377A has a chilling effect on gay rights advocacy is</w:t>
      </w:r>
      <w:r w:rsidR="00DF1C54">
        <w:t xml:space="preserve"> </w:t>
      </w:r>
      <w:r w:rsidRPr="008D08D4">
        <w:t xml:space="preserve">an extra-legal argument </w:t>
      </w:r>
      <w:r w:rsidR="00DF1C54">
        <w:t>that the court cannot entertain.</w:t>
      </w:r>
      <w:r w:rsidR="00DF1C54">
        <w:rPr>
          <w:rStyle w:val="FootnoteReference"/>
        </w:rPr>
        <w:footnoteReference w:id="71"/>
      </w:r>
      <w:r w:rsidR="00DF1C54">
        <w:t xml:space="preserve"> </w:t>
      </w:r>
    </w:p>
    <w:p w14:paraId="7C21266D" w14:textId="2E49E112" w:rsidR="00DF1C54" w:rsidRDefault="00DF1C54" w:rsidP="00DF1C54">
      <w:pPr>
        <w:pStyle w:val="Hdg-2"/>
      </w:pPr>
      <w:r>
        <w:t>C.</w:t>
      </w:r>
      <w:r>
        <w:tab/>
        <w:t>Article 12</w:t>
      </w:r>
    </w:p>
    <w:p w14:paraId="49B855A8" w14:textId="50CEAF4F" w:rsidR="004838FA" w:rsidRDefault="00C77FDC" w:rsidP="00DF1C54">
      <w:pPr>
        <w:pStyle w:val="Cont-1"/>
      </w:pPr>
      <w:r>
        <w:t xml:space="preserve">The </w:t>
      </w:r>
      <w:r w:rsidR="001E7559">
        <w:t>court first reiterated that the established test for determining whether a statutory provision is constitutional under Art 12(1) is the “reasonable classification test”</w:t>
      </w:r>
      <w:r w:rsidR="001E7559">
        <w:rPr>
          <w:rStyle w:val="FootnoteReference"/>
        </w:rPr>
        <w:footnoteReference w:id="72"/>
      </w:r>
      <w:r>
        <w:t xml:space="preserve"> </w:t>
      </w:r>
      <w:r w:rsidR="004838FA">
        <w:t xml:space="preserve">which has two </w:t>
      </w:r>
      <w:r w:rsidR="008146D3">
        <w:t xml:space="preserve">limbs. Under the first limb, </w:t>
      </w:r>
      <w:r w:rsidR="008146D3" w:rsidRPr="008146D3">
        <w:t xml:space="preserve">the classification prescribed by the statutory provision in question </w:t>
      </w:r>
      <w:r w:rsidR="008146D3">
        <w:t xml:space="preserve">must </w:t>
      </w:r>
      <w:r w:rsidR="008146D3" w:rsidRPr="008146D3">
        <w:t xml:space="preserve">be based on an intelligible </w:t>
      </w:r>
      <w:r w:rsidR="008146D3" w:rsidRPr="008146D3">
        <w:lastRenderedPageBreak/>
        <w:t>differentia.</w:t>
      </w:r>
      <w:r w:rsidR="007553FD">
        <w:rPr>
          <w:rStyle w:val="FootnoteReference"/>
        </w:rPr>
        <w:footnoteReference w:id="73"/>
      </w:r>
      <w:r w:rsidR="008146D3">
        <w:t xml:space="preserve"> This has been described to be a low threshold.</w:t>
      </w:r>
      <w:r w:rsidR="007553FD">
        <w:rPr>
          <w:rStyle w:val="FootnoteReference"/>
        </w:rPr>
        <w:footnoteReference w:id="74"/>
      </w:r>
      <w:r w:rsidR="008146D3">
        <w:t xml:space="preserve"> </w:t>
      </w:r>
      <w:r w:rsidR="00A06D60">
        <w:t>As for the second limb, the court examines whether the differentia bears a rational relation with the legislative object of the statutory provision.</w:t>
      </w:r>
      <w:r w:rsidR="00A06D60">
        <w:rPr>
          <w:rStyle w:val="FootnoteReference"/>
        </w:rPr>
        <w:footnoteReference w:id="75"/>
      </w:r>
      <w:r w:rsidR="00A06D60">
        <w:t xml:space="preserve"> </w:t>
      </w:r>
    </w:p>
    <w:p w14:paraId="486C0471" w14:textId="155A03CC" w:rsidR="004C03C8" w:rsidRDefault="003C5F48" w:rsidP="00DF1C54">
      <w:pPr>
        <w:pStyle w:val="Cont-1"/>
      </w:pPr>
      <w:r>
        <w:t xml:space="preserve">With respect to s 377A, the Court of Appeal opined that whether s 377A violates the second limb of the </w:t>
      </w:r>
      <w:r w:rsidR="004C28DB">
        <w:t xml:space="preserve">“reasonable classification test” </w:t>
      </w:r>
      <w:r w:rsidR="00CD5E1B">
        <w:t>depends</w:t>
      </w:r>
      <w:r w:rsidR="004C28DB">
        <w:t xml:space="preserve"> on </w:t>
      </w:r>
      <w:r w:rsidR="00CD5E1B">
        <w:t xml:space="preserve">how </w:t>
      </w:r>
      <w:r w:rsidR="00246F1B">
        <w:t xml:space="preserve">the legislative object of </w:t>
      </w:r>
      <w:r w:rsidR="00CD5E1B">
        <w:t>s 377A</w:t>
      </w:r>
      <w:r w:rsidR="00246F1B">
        <w:t xml:space="preserve"> </w:t>
      </w:r>
      <w:r w:rsidR="00CD5E1B">
        <w:t xml:space="preserve">is being </w:t>
      </w:r>
      <w:r w:rsidR="0057504D">
        <w:t>cast</w:t>
      </w:r>
      <w:r w:rsidR="00CD5E1B">
        <w:t xml:space="preserve">. </w:t>
      </w:r>
      <w:r w:rsidR="00246F1B">
        <w:t xml:space="preserve">If the legislative object of s 377A is the expression of </w:t>
      </w:r>
      <w:r w:rsidR="00246F1B" w:rsidRPr="00246F1B">
        <w:t>societal disapproval of male-male sex acts</w:t>
      </w:r>
      <w:r w:rsidR="00246F1B">
        <w:t xml:space="preserve">, then there would be a perfect coincidence between the differentia </w:t>
      </w:r>
      <w:r w:rsidR="004C03C8">
        <w:t xml:space="preserve">in s 377A </w:t>
      </w:r>
      <w:r w:rsidR="00077EFF">
        <w:t>(</w:t>
      </w:r>
      <w:r w:rsidR="00077EFF" w:rsidRPr="00077EFF">
        <w:rPr>
          <w:i/>
          <w:iCs/>
        </w:rPr>
        <w:t>viz</w:t>
      </w:r>
      <w:r w:rsidR="00077EFF">
        <w:t xml:space="preserve">. male-male sex acts) </w:t>
      </w:r>
      <w:r w:rsidR="004C03C8">
        <w:t>with its legislative object.</w:t>
      </w:r>
      <w:r w:rsidR="004B65D7">
        <w:rPr>
          <w:rStyle w:val="FootnoteReference"/>
        </w:rPr>
        <w:footnoteReference w:id="76"/>
      </w:r>
      <w:r w:rsidR="004C03C8">
        <w:t xml:space="preserve"> If so, s 377A would </w:t>
      </w:r>
      <w:r w:rsidR="004B65D7">
        <w:t xml:space="preserve">not violate the “reasonable classification test” and </w:t>
      </w:r>
      <w:r w:rsidR="004C03C8">
        <w:t xml:space="preserve">be constitutional </w:t>
      </w:r>
      <w:r w:rsidR="004B65D7">
        <w:t xml:space="preserve">under Art 12. </w:t>
      </w:r>
    </w:p>
    <w:p w14:paraId="0D8EDB64" w14:textId="54A9AF26" w:rsidR="001E7559" w:rsidRDefault="004C03C8" w:rsidP="0022166C">
      <w:pPr>
        <w:pStyle w:val="Cont-1"/>
      </w:pPr>
      <w:r>
        <w:t xml:space="preserve">However, if the </w:t>
      </w:r>
      <w:r w:rsidR="004B65D7">
        <w:t>legislative object of s 377A is framed more broadly as an expression of society’s disapproval of homosexual</w:t>
      </w:r>
      <w:r w:rsidR="005C1301">
        <w:t xml:space="preserve"> conduct</w:t>
      </w:r>
      <w:r w:rsidR="004B65D7">
        <w:t xml:space="preserve"> in general or the </w:t>
      </w:r>
      <w:r w:rsidR="004B65D7">
        <w:rPr>
          <w:szCs w:val="24"/>
        </w:rPr>
        <w:t>s</w:t>
      </w:r>
      <w:r w:rsidR="004B65D7" w:rsidRPr="004B65D7">
        <w:rPr>
          <w:szCs w:val="24"/>
        </w:rPr>
        <w:t>afeguarding of public morality generally</w:t>
      </w:r>
      <w:r w:rsidR="004B65D7">
        <w:rPr>
          <w:szCs w:val="24"/>
        </w:rPr>
        <w:t xml:space="preserve">, then this would bolster the </w:t>
      </w:r>
      <w:r w:rsidR="00251502">
        <w:rPr>
          <w:szCs w:val="24"/>
        </w:rPr>
        <w:t xml:space="preserve">case that s 377A violates the </w:t>
      </w:r>
      <w:r w:rsidR="00251502">
        <w:t>“reasonable classification test”</w:t>
      </w:r>
      <w:r w:rsidR="00BF3DD0">
        <w:t xml:space="preserve"> and, hence, unconstitutional under Art 12</w:t>
      </w:r>
      <w:r w:rsidR="00251502">
        <w:t>. Here, s 377A may be under-inclusive because it does not criminalise female-female homosexual conduct</w:t>
      </w:r>
      <w:r w:rsidR="001A15DC">
        <w:t xml:space="preserve"> and so there is no rational relation between s 377A’s legislative object and the differentia </w:t>
      </w:r>
      <w:r w:rsidR="001A15DC" w:rsidRPr="001A15DC">
        <w:t>embodied in s 377A</w:t>
      </w:r>
      <w:r w:rsidR="001A15DC">
        <w:t xml:space="preserve">, </w:t>
      </w:r>
      <w:r w:rsidR="001A15DC" w:rsidRPr="001A15DC">
        <w:rPr>
          <w:i/>
          <w:iCs/>
        </w:rPr>
        <w:t>viz</w:t>
      </w:r>
      <w:r w:rsidR="001A15DC">
        <w:t>. male-male sex acts.</w:t>
      </w:r>
      <w:r w:rsidR="00077EFF">
        <w:t xml:space="preserve"> Alternatively, if the </w:t>
      </w:r>
      <w:r w:rsidR="00077EFF" w:rsidRPr="00077EFF">
        <w:t xml:space="preserve">legislative object of s 377A is </w:t>
      </w:r>
      <w:r w:rsidR="00582A2F">
        <w:t>to target only</w:t>
      </w:r>
      <w:r w:rsidR="00077EFF" w:rsidRPr="00077EFF">
        <w:t xml:space="preserve"> male prostitution </w:t>
      </w:r>
      <w:r w:rsidR="00077EFF">
        <w:t xml:space="preserve">(a point which the </w:t>
      </w:r>
      <w:r w:rsidR="00582A2F">
        <w:t xml:space="preserve">court rejected), then as </w:t>
      </w:r>
      <w:r w:rsidR="0022166C">
        <w:t xml:space="preserve">s 377A applies to not only male prostitution, </w:t>
      </w:r>
      <w:proofErr w:type="gramStart"/>
      <w:r w:rsidR="0022166C">
        <w:t>it is</w:t>
      </w:r>
      <w:proofErr w:type="gramEnd"/>
      <w:r w:rsidR="0022166C">
        <w:t xml:space="preserve"> over</w:t>
      </w:r>
      <w:r w:rsidR="001E20E3">
        <w:t>-</w:t>
      </w:r>
      <w:r w:rsidR="0022166C">
        <w:t>inclusive and accordingly falls afoul of the “reasonable classification test”.</w:t>
      </w:r>
      <w:r w:rsidR="0022166C">
        <w:rPr>
          <w:rStyle w:val="FootnoteReference"/>
        </w:rPr>
        <w:footnoteReference w:id="77"/>
      </w:r>
    </w:p>
    <w:p w14:paraId="3F63596A" w14:textId="2B49B77B" w:rsidR="0022166C" w:rsidRDefault="0022166C" w:rsidP="0022166C">
      <w:pPr>
        <w:pStyle w:val="Hdg-1"/>
      </w:pPr>
      <w:r>
        <w:t>VII</w:t>
      </w:r>
      <w:r w:rsidR="00CF390C">
        <w:t>I</w:t>
      </w:r>
      <w:r>
        <w:t xml:space="preserve">. </w:t>
      </w:r>
      <w:r>
        <w:tab/>
      </w:r>
      <w:r w:rsidR="00A75461">
        <w:t xml:space="preserve">Comments  </w:t>
      </w:r>
    </w:p>
    <w:p w14:paraId="60317692" w14:textId="26CF044E" w:rsidR="001B130E" w:rsidRDefault="003578E9" w:rsidP="0022166C">
      <w:pPr>
        <w:pStyle w:val="Cont-1"/>
      </w:pPr>
      <w:r>
        <w:t xml:space="preserve">There are </w:t>
      </w:r>
      <w:r w:rsidR="001E14CC">
        <w:t>several</w:t>
      </w:r>
      <w:r w:rsidR="00DA4780">
        <w:t xml:space="preserve"> noteworthy points</w:t>
      </w:r>
      <w:r w:rsidR="00AC6C56">
        <w:t xml:space="preserve"> from the decision which </w:t>
      </w:r>
      <w:r>
        <w:t xml:space="preserve">I </w:t>
      </w:r>
      <w:r w:rsidR="00AC6C56">
        <w:t xml:space="preserve">now </w:t>
      </w:r>
      <w:r w:rsidR="0013160C">
        <w:t>discuss.</w:t>
      </w:r>
    </w:p>
    <w:p w14:paraId="31E4E464" w14:textId="55416700" w:rsidR="001D202E" w:rsidRDefault="00991F20" w:rsidP="00991F20">
      <w:pPr>
        <w:pStyle w:val="Hdg-2"/>
      </w:pPr>
      <w:r>
        <w:lastRenderedPageBreak/>
        <w:t>A.</w:t>
      </w:r>
      <w:r>
        <w:tab/>
        <w:t>Substantive legitimate expectations</w:t>
      </w:r>
    </w:p>
    <w:p w14:paraId="3018F0B4" w14:textId="7B527E95" w:rsidR="00501870" w:rsidRDefault="0013637D" w:rsidP="00501870">
      <w:pPr>
        <w:pStyle w:val="Cont-1"/>
      </w:pPr>
      <w:r>
        <w:t xml:space="preserve">First, </w:t>
      </w:r>
      <w:r w:rsidR="00683976">
        <w:t xml:space="preserve">the Court of Appeal invoked </w:t>
      </w:r>
      <w:r>
        <w:t xml:space="preserve">the doctrine of substantive legitimate expectations. </w:t>
      </w:r>
      <w:r w:rsidR="00683976">
        <w:t>In doing so, t</w:t>
      </w:r>
      <w:r w:rsidR="008A1451">
        <w:t xml:space="preserve">he court referred to the framework set out in </w:t>
      </w:r>
      <w:r w:rsidR="008A1451" w:rsidRPr="00BE21A2">
        <w:rPr>
          <w:i/>
          <w:iCs/>
        </w:rPr>
        <w:t>Chiu Teng</w:t>
      </w:r>
      <w:r w:rsidR="008A1451">
        <w:rPr>
          <w:i/>
          <w:iCs/>
        </w:rPr>
        <w:t xml:space="preserve"> </w:t>
      </w:r>
      <w:r w:rsidR="008A1451">
        <w:t xml:space="preserve">and concluded that </w:t>
      </w:r>
      <w:r w:rsidR="007A04AF">
        <w:t>a legitimate expectation had arisen with respect to AG Wong’s 2018 representation</w:t>
      </w:r>
      <w:r w:rsidR="009F540F">
        <w:t>s</w:t>
      </w:r>
      <w:r w:rsidR="00BE21A2">
        <w:t>.</w:t>
      </w:r>
      <w:r w:rsidR="008A1451">
        <w:rPr>
          <w:rStyle w:val="FootnoteReference"/>
        </w:rPr>
        <w:footnoteReference w:id="78"/>
      </w:r>
      <w:r w:rsidR="00BE21A2">
        <w:t xml:space="preserve"> </w:t>
      </w:r>
      <w:r w:rsidR="008A1451">
        <w:t xml:space="preserve">However, </w:t>
      </w:r>
      <w:r w:rsidR="00A75C10">
        <w:t>it appears that AG Wong’s 2018 representation</w:t>
      </w:r>
      <w:r w:rsidR="009F540F">
        <w:t>s</w:t>
      </w:r>
      <w:r w:rsidR="00A75C10">
        <w:t xml:space="preserve"> was not unequivocal or unqualified, a requirement under </w:t>
      </w:r>
      <w:r w:rsidR="00A75C10" w:rsidRPr="00A75C10">
        <w:rPr>
          <w:i/>
          <w:iCs/>
        </w:rPr>
        <w:t>Chiu Teng</w:t>
      </w:r>
      <w:r w:rsidR="00A75C10">
        <w:t xml:space="preserve">, </w:t>
      </w:r>
      <w:r w:rsidR="009F540F">
        <w:t xml:space="preserve">because </w:t>
      </w:r>
      <w:r w:rsidR="00C31548">
        <w:t>AG Wong stated that “</w:t>
      </w:r>
      <w:r w:rsidR="00C31548" w:rsidRPr="00C31548">
        <w:t xml:space="preserve">the PP had, </w:t>
      </w:r>
      <w:r w:rsidR="00C31548" w:rsidRPr="00C31548">
        <w:rPr>
          <w:i/>
          <w:iCs/>
        </w:rPr>
        <w:t>absent other factors</w:t>
      </w:r>
      <w:r w:rsidR="00C31548" w:rsidRPr="00C31548">
        <w:t>, taken the position that prosecution would not be in the public interest</w:t>
      </w:r>
      <w:r w:rsidR="00C31548">
        <w:t>” [emphasis added].</w:t>
      </w:r>
      <w:r w:rsidR="00ED43E0">
        <w:t xml:space="preserve"> </w:t>
      </w:r>
      <w:r w:rsidR="00501870">
        <w:t>But it is</w:t>
      </w:r>
      <w:r w:rsidR="00ED43E0">
        <w:t xml:space="preserve"> unclear what “</w:t>
      </w:r>
      <w:r w:rsidR="00ED43E0" w:rsidRPr="00ED43E0">
        <w:t>absent other factors</w:t>
      </w:r>
      <w:r w:rsidR="00ED43E0">
        <w:t>” mean</w:t>
      </w:r>
      <w:r w:rsidR="001218C0">
        <w:t>t</w:t>
      </w:r>
      <w:r w:rsidR="002A0B2B">
        <w:t xml:space="preserve"> </w:t>
      </w:r>
      <w:r w:rsidR="00501870">
        <w:t>since AG Wong did not explain what he had in mind. If so, given the ambiguity, the representation cannot be said to be unequivocal or unqualified.</w:t>
      </w:r>
    </w:p>
    <w:p w14:paraId="3AB1DA83" w14:textId="1C163602" w:rsidR="000A4A20" w:rsidRDefault="00501870" w:rsidP="00DD0EF6">
      <w:pPr>
        <w:pStyle w:val="Cont-1"/>
      </w:pPr>
      <w:r>
        <w:t>Even if it were, and therefore satisfies the</w:t>
      </w:r>
      <w:r w:rsidR="00DC6DF3">
        <w:t xml:space="preserve"> “unequivocal or unqualified”</w:t>
      </w:r>
      <w:r w:rsidR="00310E04">
        <w:t xml:space="preserve"> </w:t>
      </w:r>
      <w:r>
        <w:t xml:space="preserve">requirement in </w:t>
      </w:r>
      <w:r w:rsidRPr="00501870">
        <w:rPr>
          <w:i/>
          <w:iCs/>
        </w:rPr>
        <w:t>Chiu Teng</w:t>
      </w:r>
      <w:r>
        <w:t xml:space="preserve">, the more </w:t>
      </w:r>
      <w:r w:rsidR="00AB3AA9">
        <w:t>significant issue is that</w:t>
      </w:r>
      <w:r w:rsidR="00DC6DF3">
        <w:t xml:space="preserve"> the Court of Appeal had </w:t>
      </w:r>
      <w:r w:rsidR="00B82F4B">
        <w:t>gone</w:t>
      </w:r>
      <w:r w:rsidR="00DC6DF3">
        <w:t xml:space="preserve"> above and beyond AG Wong’s representations in holding that s 377A is unenforceable in its entirety. To recapitulate, AG Wong stated that “</w:t>
      </w:r>
      <w:r w:rsidR="000A4A20" w:rsidRPr="003F0038">
        <w:t>where the conduct in question was between two consenting adults in a private place, the PP had</w:t>
      </w:r>
      <w:r w:rsidR="000A4A20">
        <w:t xml:space="preserve"> … </w:t>
      </w:r>
      <w:r w:rsidR="000A4A20" w:rsidRPr="003F0038">
        <w:t>taken the position that prosecution would not be in the public interest</w:t>
      </w:r>
      <w:r w:rsidR="000A4A20">
        <w:t xml:space="preserve">.” </w:t>
      </w:r>
      <w:r w:rsidR="00D24462">
        <w:t>It is conceivable that</w:t>
      </w:r>
      <w:r w:rsidR="00DD0EF6">
        <w:t xml:space="preserve"> there are instances</w:t>
      </w:r>
      <w:r w:rsidR="000A4A20">
        <w:t xml:space="preserve"> in which the homosexual conduct in question </w:t>
      </w:r>
      <w:r w:rsidR="00DD0EF6">
        <w:t xml:space="preserve">would not fall under AG Wong’s representation of non-prosecution. </w:t>
      </w:r>
      <w:r w:rsidR="00D24462">
        <w:t>Such instances</w:t>
      </w:r>
      <w:r w:rsidR="00DD0EF6">
        <w:t xml:space="preserve"> include acts </w:t>
      </w:r>
      <w:r w:rsidR="000A4A20">
        <w:t xml:space="preserve">not carried out by </w:t>
      </w:r>
      <w:r w:rsidR="000A4A20" w:rsidRPr="003F0038">
        <w:t>two consenting adults</w:t>
      </w:r>
      <w:r w:rsidR="000A4A20">
        <w:t xml:space="preserve"> and/or in a private place. </w:t>
      </w:r>
    </w:p>
    <w:p w14:paraId="54189A2C" w14:textId="62EE0AF3" w:rsidR="000A4A20" w:rsidRPr="005D3C30" w:rsidRDefault="00970621" w:rsidP="005D3C30">
      <w:pPr>
        <w:pStyle w:val="Cont-1"/>
      </w:pPr>
      <w:r>
        <w:t xml:space="preserve">Nevertheless, the Court of Appeal’s decision to hold s 377A completely unenforceable is </w:t>
      </w:r>
      <w:r w:rsidR="00E4523D">
        <w:t>justifiable</w:t>
      </w:r>
      <w:r w:rsidR="00BC442A">
        <w:t xml:space="preserve"> and commendable because doing so removes the</w:t>
      </w:r>
      <w:r w:rsidR="005D3C30">
        <w:t xml:space="preserve"> associated</w:t>
      </w:r>
      <w:r w:rsidR="00BC442A">
        <w:t xml:space="preserve"> legal uncertainties and allow</w:t>
      </w:r>
      <w:r w:rsidR="005D3C30">
        <w:t>s</w:t>
      </w:r>
      <w:r w:rsidR="00BC442A">
        <w:t xml:space="preserve"> homosexual </w:t>
      </w:r>
      <w:r w:rsidR="00BC442A" w:rsidRPr="00A716E5">
        <w:t xml:space="preserve">men </w:t>
      </w:r>
      <w:r w:rsidR="00E11D4B">
        <w:t xml:space="preserve">to </w:t>
      </w:r>
      <w:r w:rsidR="00355A2B">
        <w:t xml:space="preserve">adequately </w:t>
      </w:r>
      <w:r w:rsidR="00E11D4B">
        <w:t xml:space="preserve">plan </w:t>
      </w:r>
      <w:r w:rsidR="00E4523D">
        <w:t xml:space="preserve">and live </w:t>
      </w:r>
      <w:r w:rsidR="00E11D4B">
        <w:t>their lives</w:t>
      </w:r>
      <w:r w:rsidR="00355A2B">
        <w:t xml:space="preserve">. </w:t>
      </w:r>
    </w:p>
    <w:p w14:paraId="5A4954FE" w14:textId="6897C6DE" w:rsidR="00DA168B" w:rsidRDefault="00CB35FD" w:rsidP="00862627">
      <w:pPr>
        <w:pStyle w:val="Cont-1"/>
      </w:pPr>
      <w:r>
        <w:t xml:space="preserve">Another issue may be </w:t>
      </w:r>
      <w:r w:rsidR="00DA168B">
        <w:t xml:space="preserve">the court’s consideration of the Prime Minister’s representation in Parliament in its analysis of the </w:t>
      </w:r>
      <w:r w:rsidR="00AA3574">
        <w:t xml:space="preserve">legitimate expectation that had arisen. </w:t>
      </w:r>
      <w:r w:rsidR="00366D1B">
        <w:t xml:space="preserve">Under the </w:t>
      </w:r>
      <w:r w:rsidR="00366D1B" w:rsidRPr="00366D1B">
        <w:rPr>
          <w:i/>
          <w:iCs/>
        </w:rPr>
        <w:t>Chiu Teng</w:t>
      </w:r>
      <w:r w:rsidR="00366D1B">
        <w:t xml:space="preserve"> framework, the representation must be made by </w:t>
      </w:r>
      <w:r w:rsidR="00366D1B">
        <w:lastRenderedPageBreak/>
        <w:t>someone with authority.</w:t>
      </w:r>
      <w:r w:rsidR="00366D1B">
        <w:rPr>
          <w:rStyle w:val="FootnoteReference"/>
        </w:rPr>
        <w:footnoteReference w:id="79"/>
      </w:r>
      <w:r w:rsidR="00346B19">
        <w:t xml:space="preserve"> </w:t>
      </w:r>
      <w:r w:rsidR="0021041B">
        <w:t xml:space="preserve">However, under Singapore’s constitutional </w:t>
      </w:r>
      <w:r w:rsidR="00B94CB5">
        <w:t>framework</w:t>
      </w:r>
      <w:r w:rsidR="002B12DC">
        <w:t>, the authority to prosecute lies within the exclusive domain of the AG.</w:t>
      </w:r>
      <w:r w:rsidR="002B12DC">
        <w:rPr>
          <w:rStyle w:val="FootnoteReference"/>
        </w:rPr>
        <w:footnoteReference w:id="80"/>
      </w:r>
      <w:r w:rsidR="002B12DC">
        <w:t xml:space="preserve"> </w:t>
      </w:r>
      <w:r w:rsidR="00E67FBF">
        <w:t xml:space="preserve">Despite this, as the Court of Appeal had astutely pointed out, it would be “artificial and unrealistic” to ignore the political compromise struck by the Government in 2007 in determining </w:t>
      </w:r>
      <w:r w:rsidR="00572F0A">
        <w:t>the legality of s 377A.</w:t>
      </w:r>
      <w:r w:rsidR="00572F0A">
        <w:rPr>
          <w:rStyle w:val="FootnoteReference"/>
        </w:rPr>
        <w:footnoteReference w:id="81"/>
      </w:r>
      <w:r w:rsidR="00572F0A">
        <w:t xml:space="preserve"> </w:t>
      </w:r>
    </w:p>
    <w:p w14:paraId="21B52A89" w14:textId="406A05C9" w:rsidR="004A63FF" w:rsidRDefault="004A63FF" w:rsidP="004A63FF">
      <w:pPr>
        <w:pStyle w:val="Hdg-2"/>
      </w:pPr>
      <w:r>
        <w:t>B.</w:t>
      </w:r>
      <w:r>
        <w:tab/>
        <w:t>Article 9</w:t>
      </w:r>
    </w:p>
    <w:p w14:paraId="2DB79ECD" w14:textId="6FEAB833" w:rsidR="00625FA7" w:rsidRDefault="005501B4" w:rsidP="004A63FF">
      <w:pPr>
        <w:pStyle w:val="Cont-1"/>
      </w:pPr>
      <w:r>
        <w:t xml:space="preserve">This decision is also significant in clarifying </w:t>
      </w:r>
      <w:r w:rsidR="00DD5897">
        <w:t xml:space="preserve">what the concept of “absurdity” under Art 9 of the Constitution entails. In </w:t>
      </w:r>
      <w:r w:rsidR="00DD5897" w:rsidRPr="00DD5897">
        <w:rPr>
          <w:i/>
          <w:iCs/>
        </w:rPr>
        <w:t xml:space="preserve">Yong </w:t>
      </w:r>
      <w:proofErr w:type="spellStart"/>
      <w:r w:rsidR="00DD5897" w:rsidRPr="00DD5897">
        <w:rPr>
          <w:i/>
          <w:iCs/>
        </w:rPr>
        <w:t>Vui</w:t>
      </w:r>
      <w:proofErr w:type="spellEnd"/>
      <w:r w:rsidR="00DD5897" w:rsidRPr="00DD5897">
        <w:rPr>
          <w:i/>
          <w:iCs/>
        </w:rPr>
        <w:t xml:space="preserve"> Kong</w:t>
      </w:r>
      <w:r w:rsidR="00DD5897">
        <w:t xml:space="preserve">, </w:t>
      </w:r>
      <w:r w:rsidR="00F13DC2">
        <w:t>the Court of Appeal opined that a leg</w:t>
      </w:r>
      <w:r w:rsidR="006F2505">
        <w:t>islation that is “absurd” cannot be “law”</w:t>
      </w:r>
      <w:r w:rsidR="006258B0">
        <w:t xml:space="preserve"> under Art 9</w:t>
      </w:r>
      <w:r w:rsidR="006F2505">
        <w:t>.</w:t>
      </w:r>
      <w:r w:rsidR="006F2505">
        <w:rPr>
          <w:rStyle w:val="FootnoteReference"/>
        </w:rPr>
        <w:footnoteReference w:id="82"/>
      </w:r>
      <w:r w:rsidR="006F2505">
        <w:t xml:space="preserve"> However, it did not explain what qualifies as an “absurd” legislation. In the present case, the court</w:t>
      </w:r>
      <w:r w:rsidR="008F4B97">
        <w:t xml:space="preserve"> helpfully</w:t>
      </w:r>
      <w:r w:rsidR="006F2505">
        <w:t xml:space="preserve"> </w:t>
      </w:r>
      <w:r w:rsidR="00B77CBB">
        <w:t xml:space="preserve">clarified (in </w:t>
      </w:r>
      <w:r w:rsidR="00B77CBB" w:rsidRPr="00B77CBB">
        <w:rPr>
          <w:i/>
          <w:iCs/>
        </w:rPr>
        <w:t>obiter</w:t>
      </w:r>
      <w:r w:rsidR="00B77CBB">
        <w:t xml:space="preserve">) that </w:t>
      </w:r>
      <w:r w:rsidR="00625FA7">
        <w:t xml:space="preserve">the “absurdity” test is only procedural in nature as it is meant to ensure </w:t>
      </w:r>
      <w:r w:rsidR="00625FA7" w:rsidRPr="00DF0727">
        <w:t>the right to a fair process</w:t>
      </w:r>
      <w:r w:rsidR="00625FA7">
        <w:t xml:space="preserve"> in situations involving a deprivation of life or personal liberty. Accordingly, </w:t>
      </w:r>
      <w:r w:rsidR="008A4B11">
        <w:t xml:space="preserve">the courts cannot examine the substantive content of a legislation in determining whether a legislation is “absurd”. </w:t>
      </w:r>
    </w:p>
    <w:p w14:paraId="5E6E4A24" w14:textId="1E7BB33C" w:rsidR="005C3C80" w:rsidRDefault="006258B0" w:rsidP="005C3C80">
      <w:pPr>
        <w:pStyle w:val="Cont-1"/>
      </w:pPr>
      <w:r>
        <w:t xml:space="preserve">This must be </w:t>
      </w:r>
      <w:r w:rsidR="00407EE3">
        <w:t>right since</w:t>
      </w:r>
      <w:r>
        <w:t xml:space="preserve"> </w:t>
      </w:r>
      <w:r w:rsidR="00A21D0B">
        <w:t>the adoption of</w:t>
      </w:r>
      <w:r>
        <w:t xml:space="preserve"> a substantive test of “absurdity” would necessarily </w:t>
      </w:r>
      <w:r w:rsidR="00A21D0B">
        <w:t xml:space="preserve">require the courts to consider the moral justifications of a legislation. But this is contrary to </w:t>
      </w:r>
      <w:r w:rsidR="0009541F">
        <w:t>the doctrine of separation of powers</w:t>
      </w:r>
      <w:r w:rsidR="005C3C80">
        <w:t xml:space="preserve"> as </w:t>
      </w:r>
      <w:r w:rsidR="008E284D">
        <w:t>the proper role of the court</w:t>
      </w:r>
      <w:r w:rsidR="00131BB6">
        <w:t>s</w:t>
      </w:r>
      <w:r w:rsidR="008E284D">
        <w:t xml:space="preserve"> does not extend to evaluating the policy merits of a legislation</w:t>
      </w:r>
      <w:r w:rsidR="00131BB6">
        <w:t xml:space="preserve">. </w:t>
      </w:r>
      <w:r w:rsidR="008F4B97">
        <w:t>There are also questions as to the institutional competence of the courts to undertake such an endeavour.</w:t>
      </w:r>
    </w:p>
    <w:p w14:paraId="52C3EFC7" w14:textId="6CD3A740" w:rsidR="008F4B97" w:rsidRDefault="00E73758" w:rsidP="00E73758">
      <w:pPr>
        <w:pStyle w:val="Hdg-2"/>
      </w:pPr>
      <w:r>
        <w:t>C.</w:t>
      </w:r>
      <w:r>
        <w:tab/>
        <w:t>Article 14</w:t>
      </w:r>
    </w:p>
    <w:p w14:paraId="58C017A9" w14:textId="12C21977" w:rsidR="00C37319" w:rsidRDefault="004A60DF" w:rsidP="00E73758">
      <w:pPr>
        <w:pStyle w:val="Cont-1"/>
      </w:pPr>
      <w:r>
        <w:t xml:space="preserve">In rejecting the appellants’ </w:t>
      </w:r>
      <w:r w:rsidR="00C37319">
        <w:t>contention that the word “expression” in “</w:t>
      </w:r>
      <w:r w:rsidR="00C37319" w:rsidRPr="00F22A67">
        <w:t xml:space="preserve">freedom </w:t>
      </w:r>
      <w:r w:rsidR="00407EE3">
        <w:t xml:space="preserve">of </w:t>
      </w:r>
      <w:r w:rsidR="00C37319">
        <w:t xml:space="preserve">speech and </w:t>
      </w:r>
      <w:r w:rsidR="00C37319" w:rsidRPr="00F22A67">
        <w:t xml:space="preserve">expression” </w:t>
      </w:r>
      <w:r w:rsidR="00407EE3">
        <w:t>under</w:t>
      </w:r>
      <w:r w:rsidR="00C37319" w:rsidRPr="00F22A67">
        <w:t xml:space="preserve"> Art</w:t>
      </w:r>
      <w:r w:rsidR="0043023D">
        <w:t xml:space="preserve"> </w:t>
      </w:r>
      <w:r w:rsidR="00C37319" w:rsidRPr="00F22A67">
        <w:t>14(1)(a)</w:t>
      </w:r>
      <w:r w:rsidR="00C37319">
        <w:t xml:space="preserve"> includes acts of sexual intimacy, the court has helpfully clarified (in </w:t>
      </w:r>
      <w:r w:rsidR="00C37319" w:rsidRPr="00C37319">
        <w:rPr>
          <w:i/>
          <w:iCs/>
        </w:rPr>
        <w:t>obiter</w:t>
      </w:r>
      <w:r w:rsidR="00C37319">
        <w:t xml:space="preserve">) that “expression” is meant </w:t>
      </w:r>
      <w:r w:rsidR="00C37319">
        <w:lastRenderedPageBreak/>
        <w:t>to qualify and describe</w:t>
      </w:r>
      <w:r w:rsidR="00C37319" w:rsidRPr="00AD08AE">
        <w:t xml:space="preserve"> </w:t>
      </w:r>
      <w:r w:rsidR="00C37319">
        <w:t xml:space="preserve">the freedom of speech. Accordingly, </w:t>
      </w:r>
      <w:r w:rsidR="0043023D">
        <w:t xml:space="preserve">acts that are not “speech” do not fall within the scope of </w:t>
      </w:r>
      <w:r w:rsidR="00407EE3">
        <w:t>“freedom of speech and expression”</w:t>
      </w:r>
      <w:r w:rsidR="00F84A9A">
        <w:t>.</w:t>
      </w:r>
    </w:p>
    <w:p w14:paraId="41E6E6DA" w14:textId="7CD40638" w:rsidR="0043023D" w:rsidRDefault="003675E9" w:rsidP="00E73758">
      <w:pPr>
        <w:pStyle w:val="Cont-1"/>
      </w:pPr>
      <w:r>
        <w:t>One</w:t>
      </w:r>
      <w:r w:rsidR="0043023D">
        <w:t xml:space="preserve"> may </w:t>
      </w:r>
      <w:r w:rsidR="00502E58">
        <w:t>argue that interpreting Art 14</w:t>
      </w:r>
      <w:r w:rsidR="00DA7EE1">
        <w:t>(1)(a)</w:t>
      </w:r>
      <w:r w:rsidR="00502E58">
        <w:t xml:space="preserve"> restrictively is contrary to the principle of generous interpretation</w:t>
      </w:r>
      <w:r>
        <w:t xml:space="preserve">. But </w:t>
      </w:r>
      <w:r w:rsidR="00502E58">
        <w:t xml:space="preserve">it is submitted that </w:t>
      </w:r>
      <w:r>
        <w:t>this</w:t>
      </w:r>
      <w:r w:rsidR="00DA7EE1">
        <w:t xml:space="preserve"> is justified </w:t>
      </w:r>
      <w:r>
        <w:t>because</w:t>
      </w:r>
      <w:r w:rsidR="00DA7EE1">
        <w:t xml:space="preserve"> </w:t>
      </w:r>
      <w:r w:rsidR="00502E58">
        <w:t xml:space="preserve">a wide reading of the term “expression” would produce an impossible </w:t>
      </w:r>
      <w:r>
        <w:t>situation</w:t>
      </w:r>
      <w:r w:rsidR="00DA7EE1">
        <w:t xml:space="preserve">, </w:t>
      </w:r>
      <w:r w:rsidRPr="003675E9">
        <w:rPr>
          <w:i/>
          <w:iCs/>
        </w:rPr>
        <w:t>viz</w:t>
      </w:r>
      <w:r>
        <w:t xml:space="preserve">. </w:t>
      </w:r>
      <w:r w:rsidR="00DA7EE1" w:rsidRPr="00CD1740">
        <w:t>any act that purports to convey meaning</w:t>
      </w:r>
      <w:r w:rsidR="00DA7EE1">
        <w:t xml:space="preserve"> </w:t>
      </w:r>
      <w:r>
        <w:t>would</w:t>
      </w:r>
      <w:r w:rsidR="00DA7EE1">
        <w:t xml:space="preserve"> fall within Art 14(1)(a). </w:t>
      </w:r>
      <w:r>
        <w:t xml:space="preserve">Moreover, there are limits as to how </w:t>
      </w:r>
      <w:r w:rsidR="000B5B20">
        <w:t>“generously” the Constitution can be interpreted</w:t>
      </w:r>
      <w:r w:rsidR="004F4C1E">
        <w:t xml:space="preserve"> since i</w:t>
      </w:r>
      <w:r w:rsidR="000B5B20">
        <w:t xml:space="preserve">t </w:t>
      </w:r>
      <w:r w:rsidR="004F4C1E">
        <w:t>must be constructed in context, bearing in mind the legislative purpose</w:t>
      </w:r>
      <w:r w:rsidR="00BB4F89">
        <w:t xml:space="preserve"> of the provision in question</w:t>
      </w:r>
      <w:r w:rsidR="004F4C1E">
        <w:t xml:space="preserve">. </w:t>
      </w:r>
      <w:r w:rsidR="00841904">
        <w:t xml:space="preserve">While the court </w:t>
      </w:r>
      <w:r w:rsidR="00BB4F89">
        <w:t>may</w:t>
      </w:r>
      <w:r w:rsidR="00841904">
        <w:t xml:space="preserve"> have interpreted Art 14(1)(a) restrictively, this does not mean that it </w:t>
      </w:r>
      <w:r w:rsidR="00BB4F89">
        <w:t>has</w:t>
      </w:r>
      <w:r w:rsidR="00841904">
        <w:t xml:space="preserve"> rejected the principle of generous interpretation. Indeed, the court alluded to the principle while interpreting s 377A in the context of Art 12.</w:t>
      </w:r>
      <w:r w:rsidR="00841904">
        <w:rPr>
          <w:rStyle w:val="FootnoteReference"/>
        </w:rPr>
        <w:footnoteReference w:id="83"/>
      </w:r>
    </w:p>
    <w:p w14:paraId="4B67297C" w14:textId="7AF68E29" w:rsidR="004F4C1E" w:rsidRDefault="00504C18" w:rsidP="00504C18">
      <w:pPr>
        <w:pStyle w:val="Hdg-2"/>
      </w:pPr>
      <w:r>
        <w:t>D.</w:t>
      </w:r>
      <w:r>
        <w:tab/>
        <w:t>Article 12</w:t>
      </w:r>
    </w:p>
    <w:p w14:paraId="5FB8BD31" w14:textId="1A24F3D1" w:rsidR="00504C18" w:rsidRDefault="00504C18" w:rsidP="00504C18">
      <w:pPr>
        <w:pStyle w:val="Cont-1"/>
      </w:pPr>
      <w:r>
        <w:t xml:space="preserve">Perhaps the most significant observation </w:t>
      </w:r>
      <w:r w:rsidR="006F54DD">
        <w:t>by</w:t>
      </w:r>
      <w:r>
        <w:t xml:space="preserve"> the Court of Appeal </w:t>
      </w:r>
      <w:r w:rsidR="008D14EA">
        <w:t>is</w:t>
      </w:r>
      <w:r>
        <w:t xml:space="preserve"> in relation to Art 12(1). </w:t>
      </w:r>
      <w:r w:rsidR="006F54DD">
        <w:t xml:space="preserve">The court’s observations provide </w:t>
      </w:r>
      <w:r w:rsidR="0014059B">
        <w:t xml:space="preserve">valuable </w:t>
      </w:r>
      <w:r w:rsidR="006F54DD">
        <w:t xml:space="preserve">legal ammunition </w:t>
      </w:r>
      <w:r w:rsidR="0014059B">
        <w:t xml:space="preserve">and guidance </w:t>
      </w:r>
      <w:r w:rsidR="006F54DD">
        <w:t xml:space="preserve">to those who may wish to </w:t>
      </w:r>
      <w:proofErr w:type="spellStart"/>
      <w:r w:rsidR="006F54DD">
        <w:t>challenge s</w:t>
      </w:r>
      <w:proofErr w:type="spellEnd"/>
      <w:r w:rsidR="006F54DD">
        <w:t xml:space="preserve"> 377A’s constitutionality </w:t>
      </w:r>
      <w:r w:rsidR="00F5659F">
        <w:t xml:space="preserve">should the AG revoke AG Wong’s 2018 representations. </w:t>
      </w:r>
      <w:r w:rsidR="0014059B">
        <w:t xml:space="preserve">First, while the court opined that s 377A is over-inclusive if </w:t>
      </w:r>
      <w:r w:rsidR="008D14EA">
        <w:t>its</w:t>
      </w:r>
      <w:r w:rsidR="0014059B">
        <w:t xml:space="preserve"> legislative object is to target male prostitution, this line of argument should </w:t>
      </w:r>
      <w:r w:rsidR="008D14EA" w:rsidRPr="008D14EA">
        <w:rPr>
          <w:i/>
          <w:iCs/>
        </w:rPr>
        <w:t>not</w:t>
      </w:r>
      <w:r w:rsidR="008D14EA">
        <w:t xml:space="preserve"> </w:t>
      </w:r>
      <w:r w:rsidR="0014059B">
        <w:t xml:space="preserve">be canvassed because the court </w:t>
      </w:r>
      <w:r w:rsidR="008D14EA">
        <w:t>had also</w:t>
      </w:r>
      <w:r w:rsidR="0014059B">
        <w:t xml:space="preserve"> found that s 377A’s </w:t>
      </w:r>
      <w:r w:rsidR="00043AB6">
        <w:t xml:space="preserve">object was not to deal with male prostitution but </w:t>
      </w:r>
      <w:r w:rsidR="00043AB6" w:rsidRPr="00B32746">
        <w:t>to safeguard public morals generally</w:t>
      </w:r>
      <w:r w:rsidR="00043AB6">
        <w:t xml:space="preserve">. </w:t>
      </w:r>
    </w:p>
    <w:p w14:paraId="6B740B98" w14:textId="2CA8CB88" w:rsidR="009A2817" w:rsidRPr="00233168" w:rsidRDefault="00043AB6" w:rsidP="009A2817">
      <w:pPr>
        <w:pStyle w:val="Cont-1"/>
      </w:pPr>
      <w:r>
        <w:t xml:space="preserve">Instead, the </w:t>
      </w:r>
      <w:r w:rsidR="009A2817">
        <w:t xml:space="preserve">stronger </w:t>
      </w:r>
      <w:r w:rsidR="000162FE">
        <w:t>argument</w:t>
      </w:r>
      <w:r w:rsidR="009A2817">
        <w:t xml:space="preserve"> would be to cast s 377A as an expression of society’s disapproval of homosexual in </w:t>
      </w:r>
      <w:r w:rsidR="00B84DAB">
        <w:t>general or</w:t>
      </w:r>
      <w:r w:rsidR="009A2817">
        <w:t xml:space="preserve"> </w:t>
      </w:r>
      <w:r w:rsidR="00B84DAB">
        <w:t xml:space="preserve">to </w:t>
      </w:r>
      <w:r w:rsidR="009A2817">
        <w:t>argue that s 377A’s legislative purpose is to safeguard</w:t>
      </w:r>
      <w:r w:rsidR="009A2817" w:rsidRPr="009A2817">
        <w:rPr>
          <w:szCs w:val="24"/>
        </w:rPr>
        <w:t xml:space="preserve"> </w:t>
      </w:r>
      <w:r w:rsidR="009A2817" w:rsidRPr="004B65D7">
        <w:rPr>
          <w:szCs w:val="24"/>
        </w:rPr>
        <w:t>public morality generally</w:t>
      </w:r>
      <w:r w:rsidR="009A2817">
        <w:rPr>
          <w:szCs w:val="24"/>
        </w:rPr>
        <w:t xml:space="preserve">. This would render s 377A under-inclusive </w:t>
      </w:r>
      <w:r w:rsidR="00B84DAB">
        <w:rPr>
          <w:szCs w:val="24"/>
        </w:rPr>
        <w:t xml:space="preserve">as </w:t>
      </w:r>
      <w:r w:rsidR="00B84DAB">
        <w:t>it does not criminalise female-female homosexual conduct, and therefore unconstitutional under Art 12(1).</w:t>
      </w:r>
      <w:r w:rsidR="009A2817">
        <w:rPr>
          <w:szCs w:val="24"/>
        </w:rPr>
        <w:t xml:space="preserve"> </w:t>
      </w:r>
    </w:p>
    <w:p w14:paraId="6294FC1E" w14:textId="4C0868B5" w:rsidR="00233168" w:rsidRDefault="00CF390C" w:rsidP="002B6107">
      <w:pPr>
        <w:pStyle w:val="Hdg-1"/>
      </w:pPr>
      <w:r>
        <w:lastRenderedPageBreak/>
        <w:t>IX</w:t>
      </w:r>
      <w:r w:rsidR="002B6107">
        <w:t xml:space="preserve">. </w:t>
      </w:r>
      <w:r w:rsidR="002B6107">
        <w:tab/>
        <w:t>Conclusion</w:t>
      </w:r>
    </w:p>
    <w:p w14:paraId="1D22AFC1" w14:textId="3387C76C" w:rsidR="0062091A" w:rsidRDefault="0071730E" w:rsidP="00BF2DF7">
      <w:pPr>
        <w:pStyle w:val="Cont-1"/>
      </w:pPr>
      <w:r w:rsidRPr="00CF390C">
        <w:rPr>
          <w:i/>
          <w:iCs/>
        </w:rPr>
        <w:t>Tan Seng Kee</w:t>
      </w:r>
      <w:r w:rsidR="00C51F3E">
        <w:t xml:space="preserve"> is a momentous case. The court held that s 377A is unenforceable in its entirety. This is a welcome decision that gives homosexual men real and concrete protection from prosecution under s 377A. On the other hand, this also means that homosexual men no longer have standing to </w:t>
      </w:r>
      <w:proofErr w:type="spellStart"/>
      <w:r w:rsidR="00C51F3E">
        <w:t>challenge s</w:t>
      </w:r>
      <w:proofErr w:type="spellEnd"/>
      <w:r w:rsidR="00C51F3E">
        <w:t xml:space="preserve"> 377A’s constitutionality. </w:t>
      </w:r>
      <w:r w:rsidR="0062091A">
        <w:t xml:space="preserve">In doing so, the court masterfully avoided </w:t>
      </w:r>
      <w:r w:rsidR="00B8299E">
        <w:t xml:space="preserve">having to pronounce on the constitutionality of s 377A. </w:t>
      </w:r>
      <w:r w:rsidR="0068228E">
        <w:t xml:space="preserve">And this is a good thing since </w:t>
      </w:r>
      <w:r w:rsidR="00BF2DF7">
        <w:t>such issues are better resolved before the political branches of government, rather than in the courts.</w:t>
      </w:r>
    </w:p>
    <w:p w14:paraId="0E90BF59" w14:textId="5C508A16" w:rsidR="00C51F3E" w:rsidRDefault="003578E9" w:rsidP="00C51F3E">
      <w:pPr>
        <w:pStyle w:val="Cont-1"/>
      </w:pPr>
      <w:r>
        <w:t>Moreover, s</w:t>
      </w:r>
      <w:r w:rsidR="001F5354">
        <w:t xml:space="preserve">ince homosexual men no longer have standing to </w:t>
      </w:r>
      <w:proofErr w:type="spellStart"/>
      <w:r w:rsidR="001F5354">
        <w:t>challenge s</w:t>
      </w:r>
      <w:proofErr w:type="spellEnd"/>
      <w:r w:rsidR="001F5354">
        <w:t xml:space="preserve"> 377A’s constitutionality, </w:t>
      </w:r>
      <w:r w:rsidR="00E24799">
        <w:t>this case likely</w:t>
      </w:r>
      <w:r w:rsidR="00C51F3E">
        <w:t xml:space="preserve"> represent</w:t>
      </w:r>
      <w:r w:rsidR="00E24799">
        <w:t>s</w:t>
      </w:r>
      <w:r w:rsidR="00C51F3E">
        <w:t xml:space="preserve"> the “endgame” of constitutional challenges to s 377A until such time as the AG of the day decides to revoke AG Wong’s 2018 representations. </w:t>
      </w:r>
    </w:p>
    <w:p w14:paraId="442B7972" w14:textId="52DED4AB" w:rsidR="0051109C" w:rsidRDefault="0051109C">
      <w:pPr>
        <w:pStyle w:val="Cont-2"/>
        <w:numPr>
          <w:ilvl w:val="0"/>
          <w:numId w:val="0"/>
        </w:numPr>
        <w:rPr>
          <w:rFonts w:ascii="Bookman Old Style" w:hAnsi="Bookman Old Style"/>
          <w:sz w:val="20"/>
        </w:rPr>
      </w:pPr>
    </w:p>
    <w:p w14:paraId="49917E2F" w14:textId="6DA2B7A6" w:rsidR="0051109C" w:rsidRDefault="0051109C" w:rsidP="003A1141">
      <w:pPr>
        <w:pStyle w:val="Cont-2"/>
        <w:numPr>
          <w:ilvl w:val="0"/>
          <w:numId w:val="0"/>
        </w:numPr>
        <w:ind w:left="720"/>
        <w:rPr>
          <w:rFonts w:ascii="Bookman Old Style" w:hAnsi="Bookman Old Style"/>
          <w:sz w:val="20"/>
        </w:rPr>
      </w:pPr>
    </w:p>
    <w:p w14:paraId="166C4EB2" w14:textId="77777777" w:rsidR="0051109C" w:rsidRDefault="0051109C" w:rsidP="003A1141">
      <w:pPr>
        <w:pStyle w:val="Cont-2"/>
        <w:numPr>
          <w:ilvl w:val="0"/>
          <w:numId w:val="0"/>
        </w:numPr>
        <w:ind w:left="720"/>
        <w:rPr>
          <w:rFonts w:ascii="Bookman Old Style" w:hAnsi="Bookman Old Style"/>
          <w:sz w:val="20"/>
        </w:rPr>
      </w:pPr>
    </w:p>
    <w:p w14:paraId="1D997B98" w14:textId="23705990" w:rsidR="00C72EA1" w:rsidRPr="0079488C" w:rsidRDefault="00C72EA1" w:rsidP="003A1141">
      <w:pPr>
        <w:pStyle w:val="Cont-2"/>
        <w:numPr>
          <w:ilvl w:val="0"/>
          <w:numId w:val="0"/>
        </w:numPr>
        <w:ind w:left="720"/>
        <w:rPr>
          <w:rFonts w:ascii="Bookman Old Style" w:hAnsi="Bookman Old Style"/>
          <w:sz w:val="20"/>
        </w:rPr>
      </w:pPr>
      <w:r>
        <w:rPr>
          <w:rFonts w:ascii="Bookman Old Style" w:hAnsi="Bookman Old Style"/>
          <w:sz w:val="20"/>
        </w:rPr>
        <w:t xml:space="preserve"> </w:t>
      </w:r>
    </w:p>
    <w:sectPr w:rsidR="00C72EA1" w:rsidRPr="0079488C" w:rsidSect="004B08BF">
      <w:footerReference w:type="default" r:id="rId8"/>
      <w:pgSz w:w="11909" w:h="16834" w:code="9"/>
      <w:pgMar w:top="1530" w:right="2160" w:bottom="990" w:left="2160" w:header="1800" w:footer="6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B180" w14:textId="77777777" w:rsidR="006469CD" w:rsidRDefault="006469CD">
      <w:r>
        <w:separator/>
      </w:r>
    </w:p>
    <w:p w14:paraId="7DF24D2B" w14:textId="77777777" w:rsidR="006469CD" w:rsidRDefault="006469CD"/>
    <w:p w14:paraId="53876A5F" w14:textId="77777777" w:rsidR="006469CD" w:rsidRDefault="006469CD"/>
  </w:endnote>
  <w:endnote w:type="continuationSeparator" w:id="0">
    <w:p w14:paraId="21CE9812" w14:textId="77777777" w:rsidR="006469CD" w:rsidRDefault="006469CD">
      <w:r>
        <w:continuationSeparator/>
      </w:r>
    </w:p>
    <w:p w14:paraId="0DACB266" w14:textId="77777777" w:rsidR="006469CD" w:rsidRDefault="006469CD"/>
    <w:p w14:paraId="3544ADF3" w14:textId="77777777" w:rsidR="006469CD" w:rsidRDefault="00646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4268"/>
      <w:docPartObj>
        <w:docPartGallery w:val="Page Numbers (Bottom of Page)"/>
        <w:docPartUnique/>
      </w:docPartObj>
    </w:sdtPr>
    <w:sdtEndPr>
      <w:rPr>
        <w:noProof/>
      </w:rPr>
    </w:sdtEndPr>
    <w:sdtContent>
      <w:p w14:paraId="65B43294" w14:textId="5DC53C87" w:rsidR="00715FEB" w:rsidRDefault="00715F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12495" w14:textId="77777777" w:rsidR="00B677FD" w:rsidRDefault="00B67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2F28" w14:textId="77777777" w:rsidR="006469CD" w:rsidRDefault="006469CD">
      <w:r>
        <w:separator/>
      </w:r>
    </w:p>
    <w:p w14:paraId="5899D69D" w14:textId="77777777" w:rsidR="006469CD" w:rsidRDefault="006469CD"/>
  </w:footnote>
  <w:footnote w:type="continuationSeparator" w:id="0">
    <w:p w14:paraId="2E23E9C0" w14:textId="77777777" w:rsidR="006469CD" w:rsidRDefault="006469CD">
      <w:r>
        <w:continuationSeparator/>
      </w:r>
    </w:p>
    <w:p w14:paraId="32CB444A" w14:textId="77777777" w:rsidR="006469CD" w:rsidRDefault="006469CD"/>
  </w:footnote>
  <w:footnote w:type="continuationNotice" w:id="1">
    <w:p w14:paraId="2FA03ADF" w14:textId="77777777" w:rsidR="006469CD" w:rsidRPr="00CB1748" w:rsidRDefault="006469CD" w:rsidP="00CB1748">
      <w:pPr>
        <w:jc w:val="right"/>
        <w:rPr>
          <w:lang w:val="en-US"/>
        </w:rPr>
      </w:pPr>
      <w:r>
        <w:rPr>
          <w:lang w:val="en-US"/>
        </w:rPr>
        <w:t>(</w:t>
      </w:r>
      <w:r w:rsidRPr="00CB1748">
        <w:rPr>
          <w:i/>
          <w:lang w:val="en-US"/>
        </w:rPr>
        <w:t>cont’d on next page</w:t>
      </w:r>
      <w:r>
        <w:rPr>
          <w:lang w:val="en-US"/>
        </w:rPr>
        <w:t>)</w:t>
      </w:r>
    </w:p>
  </w:footnote>
  <w:footnote w:id="2">
    <w:p w14:paraId="4245245B" w14:textId="2559DBAB" w:rsidR="00F67A1A" w:rsidRPr="00F67A1A" w:rsidRDefault="00F67A1A" w:rsidP="006F5275">
      <w:pPr>
        <w:pStyle w:val="FootnoteText"/>
        <w:ind w:left="0" w:firstLine="0"/>
        <w:rPr>
          <w:lang w:val="en-US"/>
        </w:rPr>
      </w:pPr>
      <w:r>
        <w:rPr>
          <w:rStyle w:val="FootnoteReference"/>
        </w:rPr>
        <w:footnoteRef/>
      </w:r>
      <w:r>
        <w:t xml:space="preserve"> </w:t>
      </w:r>
      <w:r w:rsidR="006F5275" w:rsidRPr="006F5275">
        <w:t>Penal Code (Cap 224, 2008 Rev Ed)</w:t>
      </w:r>
      <w:r w:rsidR="006F5275">
        <w:t xml:space="preserve">. </w:t>
      </w:r>
      <w:r w:rsidR="009D27CA">
        <w:t xml:space="preserve">Section 377A of the </w:t>
      </w:r>
      <w:r w:rsidR="009D27CA" w:rsidRPr="006F5275">
        <w:t>Penal Code (Cap 224, 2008 Rev Ed)</w:t>
      </w:r>
      <w:r w:rsidR="006F5275">
        <w:t xml:space="preserve"> is </w:t>
      </w:r>
      <w:r w:rsidR="006F5275" w:rsidRPr="006F5275">
        <w:rPr>
          <w:i/>
          <w:iCs/>
        </w:rPr>
        <w:t xml:space="preserve">in </w:t>
      </w:r>
      <w:proofErr w:type="spellStart"/>
      <w:r w:rsidR="006F5275" w:rsidRPr="006F5275">
        <w:rPr>
          <w:i/>
          <w:iCs/>
        </w:rPr>
        <w:t>pari</w:t>
      </w:r>
      <w:proofErr w:type="spellEnd"/>
      <w:r w:rsidR="006F5275" w:rsidRPr="006F5275">
        <w:rPr>
          <w:i/>
          <w:iCs/>
        </w:rPr>
        <w:t xml:space="preserve"> </w:t>
      </w:r>
      <w:proofErr w:type="spellStart"/>
      <w:r w:rsidR="006F5275" w:rsidRPr="006F5275">
        <w:rPr>
          <w:i/>
          <w:iCs/>
        </w:rPr>
        <w:t>materia</w:t>
      </w:r>
      <w:proofErr w:type="spellEnd"/>
      <w:r w:rsidR="006F5275">
        <w:t xml:space="preserve"> with s 377A of the </w:t>
      </w:r>
      <w:r w:rsidR="006F5275" w:rsidRPr="006F5275">
        <w:t>Penal Code 1871 (2020 Rev Ed)</w:t>
      </w:r>
      <w:r w:rsidR="003E7C96">
        <w:t xml:space="preserve"> (“Revised PC”).</w:t>
      </w:r>
    </w:p>
  </w:footnote>
  <w:footnote w:id="3">
    <w:p w14:paraId="63A3EAE3" w14:textId="11F3296D" w:rsidR="006F5275" w:rsidRPr="00083F78" w:rsidRDefault="006F5275" w:rsidP="00083F78">
      <w:pPr>
        <w:pStyle w:val="FootnoteText"/>
      </w:pPr>
      <w:r>
        <w:rPr>
          <w:rStyle w:val="FootnoteReference"/>
        </w:rPr>
        <w:footnoteRef/>
      </w:r>
      <w:r>
        <w:t xml:space="preserve"> </w:t>
      </w:r>
      <w:r w:rsidR="00083F78" w:rsidRPr="00083F78">
        <w:rPr>
          <w:i/>
          <w:iCs/>
        </w:rPr>
        <w:t>Tan Seng Kee v Attorney-General</w:t>
      </w:r>
      <w:r w:rsidR="00083F78" w:rsidRPr="0011352C">
        <w:t xml:space="preserve"> [2022] SGCA 16</w:t>
      </w:r>
      <w:r w:rsidR="00083F78">
        <w:t xml:space="preserve"> at [</w:t>
      </w:r>
      <w:r w:rsidR="00776359">
        <w:t>83]</w:t>
      </w:r>
      <w:proofErr w:type="gramStart"/>
      <w:r w:rsidR="006E1AE8" w:rsidRPr="006E1AE8">
        <w:t>–</w:t>
      </w:r>
      <w:r w:rsidR="00776359">
        <w:t>[</w:t>
      </w:r>
      <w:proofErr w:type="gramEnd"/>
      <w:r w:rsidR="00776359">
        <w:t>87].</w:t>
      </w:r>
      <w:r w:rsidR="00083F78">
        <w:t xml:space="preserve"> </w:t>
      </w:r>
    </w:p>
  </w:footnote>
  <w:footnote w:id="4">
    <w:p w14:paraId="3C7A6231" w14:textId="06D39134" w:rsidR="006F5275" w:rsidRPr="00083F78" w:rsidRDefault="006F5275" w:rsidP="00083F78">
      <w:pPr>
        <w:pStyle w:val="FootnoteText"/>
      </w:pPr>
      <w:r>
        <w:rPr>
          <w:rStyle w:val="FootnoteReference"/>
        </w:rPr>
        <w:footnoteRef/>
      </w:r>
      <w:r>
        <w:t xml:space="preserve"> </w:t>
      </w:r>
      <w:r w:rsidR="00083F78" w:rsidRPr="00083F78">
        <w:rPr>
          <w:i/>
          <w:iCs/>
        </w:rPr>
        <w:t>Tan Seng Kee v Attorney-General</w:t>
      </w:r>
      <w:r w:rsidR="00083F78" w:rsidRPr="0011352C">
        <w:t xml:space="preserve"> [2022] SGCA 16</w:t>
      </w:r>
      <w:r w:rsidR="00083F78">
        <w:t xml:space="preserve"> at [159], [153] &amp; [330]. </w:t>
      </w:r>
    </w:p>
  </w:footnote>
  <w:footnote w:id="5">
    <w:p w14:paraId="7A35E8A5" w14:textId="07EA068B" w:rsidR="006E1AE8" w:rsidRPr="006E1AE8" w:rsidRDefault="006E1AE8">
      <w:pPr>
        <w:pStyle w:val="FootnoteText"/>
        <w:rPr>
          <w:lang w:val="en-US"/>
        </w:rPr>
      </w:pPr>
      <w:r>
        <w:rPr>
          <w:rStyle w:val="FootnoteReference"/>
        </w:rPr>
        <w:footnoteRef/>
      </w:r>
      <w:r>
        <w:t xml:space="preserve"> </w:t>
      </w:r>
      <w:r w:rsidR="002E0C8A" w:rsidRPr="00083F78">
        <w:rPr>
          <w:i/>
          <w:iCs/>
        </w:rPr>
        <w:t>Tan Seng Kee v Attorney-General</w:t>
      </w:r>
      <w:r w:rsidR="002E0C8A" w:rsidRPr="0011352C">
        <w:t xml:space="preserve"> [2022] SGCA 16</w:t>
      </w:r>
      <w:r w:rsidR="002E0C8A">
        <w:t xml:space="preserve"> at [153]</w:t>
      </w:r>
      <w:r w:rsidR="00B128D4">
        <w:t xml:space="preserve">, [237] </w:t>
      </w:r>
      <w:r w:rsidR="002E0C8A">
        <w:t>&amp; [330].</w:t>
      </w:r>
    </w:p>
  </w:footnote>
  <w:footnote w:id="6">
    <w:p w14:paraId="11A92CDA" w14:textId="77777777" w:rsidR="00C11134" w:rsidRPr="006E1AE8" w:rsidRDefault="00C11134" w:rsidP="00C11134">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[153]. </w:t>
      </w:r>
    </w:p>
  </w:footnote>
  <w:footnote w:id="7">
    <w:p w14:paraId="3A977318" w14:textId="0FA33558" w:rsidR="0085323D" w:rsidRPr="0085323D" w:rsidRDefault="0085323D" w:rsidP="0085323D">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[21].</w:t>
      </w:r>
    </w:p>
  </w:footnote>
  <w:footnote w:id="8">
    <w:p w14:paraId="1A6EC73F" w14:textId="7951668F" w:rsidR="0085323D" w:rsidRPr="0085323D" w:rsidRDefault="0085323D" w:rsidP="0085323D">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[22].</w:t>
      </w:r>
    </w:p>
  </w:footnote>
  <w:footnote w:id="9">
    <w:p w14:paraId="0A9E8F5E" w14:textId="77777777" w:rsidR="00041152" w:rsidRPr="00C23711" w:rsidRDefault="00041152" w:rsidP="00041152">
      <w:pPr>
        <w:pStyle w:val="FootnoteText"/>
      </w:pPr>
      <w:r>
        <w:rPr>
          <w:rStyle w:val="FootnoteReference"/>
        </w:rPr>
        <w:footnoteRef/>
      </w:r>
      <w:r>
        <w:t xml:space="preserve"> </w:t>
      </w:r>
      <w:r w:rsidRPr="00083F78">
        <w:rPr>
          <w:i/>
          <w:iCs/>
        </w:rPr>
        <w:t>Tan Seng Kee v Attorney-General</w:t>
      </w:r>
      <w:r w:rsidRPr="0011352C">
        <w:t xml:space="preserve"> [2022] SGCA 16</w:t>
      </w:r>
      <w:r>
        <w:t xml:space="preserve"> at [2].</w:t>
      </w:r>
    </w:p>
  </w:footnote>
  <w:footnote w:id="10">
    <w:p w14:paraId="7FEED11D" w14:textId="77777777" w:rsidR="00041152" w:rsidRPr="00C93BBD"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w:t>
      </w:r>
    </w:p>
  </w:footnote>
  <w:footnote w:id="11">
    <w:p w14:paraId="07D9446E" w14:textId="77777777" w:rsidR="00041152" w:rsidRPr="00C93BBD"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[4].</w:t>
      </w:r>
    </w:p>
  </w:footnote>
  <w:footnote w:id="12">
    <w:p w14:paraId="3522E7A2" w14:textId="77777777" w:rsidR="00041152" w:rsidRPr="00C93BBD"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[4].</w:t>
      </w:r>
    </w:p>
  </w:footnote>
  <w:footnote w:id="13">
    <w:p w14:paraId="171D0A1F" w14:textId="77777777" w:rsidR="00041152" w:rsidRPr="00C23711"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w:t>
      </w:r>
    </w:p>
  </w:footnote>
  <w:footnote w:id="14">
    <w:p w14:paraId="0718A536" w14:textId="77777777" w:rsidR="00041152" w:rsidRPr="0022593E"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[8] &amp; [94]. </w:t>
      </w:r>
    </w:p>
  </w:footnote>
  <w:footnote w:id="15">
    <w:p w14:paraId="5786CB4D" w14:textId="1F329918" w:rsidR="00041152" w:rsidRPr="00C23711" w:rsidRDefault="00041152" w:rsidP="0004115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[8]</w:t>
      </w:r>
      <w:r w:rsidR="00F91AE8">
        <w:t>, [76],</w:t>
      </w:r>
      <w:r>
        <w:t xml:space="preserve"> [92]</w:t>
      </w:r>
      <w:r w:rsidR="00F91AE8">
        <w:t xml:space="preserve"> and [96].</w:t>
      </w:r>
    </w:p>
  </w:footnote>
  <w:footnote w:id="16">
    <w:p w14:paraId="444452B4" w14:textId="588C7443" w:rsidR="00224A62" w:rsidRPr="00224A62" w:rsidRDefault="00224A62">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[67]</w:t>
      </w:r>
      <w:proofErr w:type="gramStart"/>
      <w:r w:rsidRPr="006E1AE8">
        <w:t>–</w:t>
      </w:r>
      <w:r>
        <w:t>[</w:t>
      </w:r>
      <w:proofErr w:type="gramEnd"/>
      <w:r>
        <w:t>68].</w:t>
      </w:r>
    </w:p>
  </w:footnote>
  <w:footnote w:id="17">
    <w:p w14:paraId="26746815" w14:textId="165D75AE" w:rsidR="00173F89" w:rsidRPr="00173F89" w:rsidRDefault="00173F89">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[66].</w:t>
      </w:r>
    </w:p>
  </w:footnote>
  <w:footnote w:id="18">
    <w:p w14:paraId="0EE98C3E" w14:textId="6F1B3349" w:rsidR="0079488C" w:rsidRPr="0079488C" w:rsidRDefault="0079488C" w:rsidP="00A07144">
      <w:pPr>
        <w:pStyle w:val="FootnoteText"/>
        <w:ind w:left="0" w:firstLine="0"/>
        <w:rPr>
          <w:lang w:val="en-US"/>
        </w:rPr>
      </w:pPr>
      <w:r>
        <w:rPr>
          <w:rStyle w:val="FootnoteReference"/>
        </w:rPr>
        <w:footnoteRef/>
      </w:r>
      <w:r>
        <w:t xml:space="preserve"> </w:t>
      </w:r>
      <w:r w:rsidRPr="00083F78">
        <w:rPr>
          <w:i/>
          <w:iCs/>
        </w:rPr>
        <w:t>Tan Seng Kee v Attorney-General</w:t>
      </w:r>
      <w:r w:rsidRPr="0011352C">
        <w:t xml:space="preserve"> [2022] SGCA 16</w:t>
      </w:r>
      <w:r>
        <w:t xml:space="preserve"> at [85], citing </w:t>
      </w:r>
      <w:r w:rsidR="00A07144">
        <w:t xml:space="preserve">para 6 of the 2018 </w:t>
      </w:r>
      <w:r w:rsidR="00453D11">
        <w:t>Attorney-General’s Chambers (“AGC”)</w:t>
      </w:r>
      <w:r w:rsidR="00A07144">
        <w:t xml:space="preserve"> Press Release. </w:t>
      </w:r>
    </w:p>
  </w:footnote>
  <w:footnote w:id="19">
    <w:p w14:paraId="0F25816C" w14:textId="388F71D6" w:rsidR="00E130F3" w:rsidRPr="00E130F3" w:rsidRDefault="00E130F3">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[95].</w:t>
      </w:r>
    </w:p>
  </w:footnote>
  <w:footnote w:id="20">
    <w:p w14:paraId="5B7ADC24" w14:textId="38F22646" w:rsidR="008530DE" w:rsidRPr="008530DE" w:rsidRDefault="008530DE">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[97]</w:t>
      </w:r>
      <w:proofErr w:type="gramStart"/>
      <w:r w:rsidRPr="006E1AE8">
        <w:t>–</w:t>
      </w:r>
      <w:r>
        <w:t>[</w:t>
      </w:r>
      <w:proofErr w:type="gramEnd"/>
      <w:r>
        <w:t>98].</w:t>
      </w:r>
    </w:p>
  </w:footnote>
  <w:footnote w:id="21">
    <w:p w14:paraId="0AFD8B34" w14:textId="790F8E55" w:rsidR="00C84791" w:rsidRPr="00C84791" w:rsidRDefault="00C84791">
      <w:pPr>
        <w:pStyle w:val="FootnoteText"/>
        <w:rPr>
          <w:lang w:val="en-US"/>
        </w:rPr>
      </w:pPr>
      <w:r>
        <w:rPr>
          <w:rStyle w:val="FootnoteReference"/>
        </w:rPr>
        <w:footnoteRef/>
      </w:r>
      <w:r>
        <w:t xml:space="preserve"> </w:t>
      </w:r>
      <w:r w:rsidR="00DF4A08" w:rsidRPr="00083F78">
        <w:rPr>
          <w:i/>
          <w:iCs/>
        </w:rPr>
        <w:t>Tan Seng Kee v Attorney-General</w:t>
      </w:r>
      <w:r w:rsidR="00DF4A08" w:rsidRPr="0011352C">
        <w:t xml:space="preserve"> [2022] SGCA 16</w:t>
      </w:r>
      <w:r w:rsidR="00DF4A08">
        <w:t xml:space="preserve"> at [99]. </w:t>
      </w:r>
    </w:p>
  </w:footnote>
  <w:footnote w:id="22">
    <w:p w14:paraId="612E371E" w14:textId="043522DE" w:rsidR="001A4348" w:rsidRPr="001A4348" w:rsidRDefault="001A434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[100]</w:t>
      </w:r>
      <w:proofErr w:type="gramStart"/>
      <w:r w:rsidRPr="006E1AE8">
        <w:t>–</w:t>
      </w:r>
      <w:r>
        <w:t>[</w:t>
      </w:r>
      <w:proofErr w:type="gramEnd"/>
      <w:r>
        <w:t xml:space="preserve">101]. </w:t>
      </w:r>
    </w:p>
  </w:footnote>
  <w:footnote w:id="23">
    <w:p w14:paraId="0A05A229" w14:textId="7BB57A36" w:rsidR="00571414" w:rsidRPr="00571414" w:rsidRDefault="00571414" w:rsidP="009A73C8">
      <w:pPr>
        <w:pStyle w:val="FootnoteText"/>
        <w:ind w:left="0" w:firstLine="0"/>
        <w:rPr>
          <w:lang w:val="en-US"/>
        </w:rPr>
      </w:pPr>
      <w:r>
        <w:rPr>
          <w:rStyle w:val="FootnoteReference"/>
        </w:rPr>
        <w:footnoteRef/>
      </w:r>
      <w:r>
        <w:t xml:space="preserve"> </w:t>
      </w:r>
      <w:r w:rsidRPr="00571414">
        <w:t xml:space="preserve">Criminal Procedure Code </w:t>
      </w:r>
      <w:r w:rsidR="00EE5FB0" w:rsidRPr="00EE5FB0">
        <w:t>(Cap 68, 2012 Rev Ed)</w:t>
      </w:r>
      <w:r w:rsidR="00EE5FB0">
        <w:t xml:space="preserve">. </w:t>
      </w:r>
      <w:r w:rsidR="009A73C8">
        <w:t xml:space="preserve">This is </w:t>
      </w:r>
      <w:proofErr w:type="spellStart"/>
      <w:r w:rsidR="009A73C8" w:rsidRPr="009D27CA">
        <w:rPr>
          <w:i/>
          <w:iCs/>
        </w:rPr>
        <w:t>pari</w:t>
      </w:r>
      <w:proofErr w:type="spellEnd"/>
      <w:r w:rsidR="009A73C8" w:rsidRPr="009D27CA">
        <w:rPr>
          <w:i/>
          <w:iCs/>
        </w:rPr>
        <w:t xml:space="preserve"> </w:t>
      </w:r>
      <w:proofErr w:type="spellStart"/>
      <w:r w:rsidR="009A73C8" w:rsidRPr="009D27CA">
        <w:rPr>
          <w:i/>
          <w:iCs/>
        </w:rPr>
        <w:t>materia</w:t>
      </w:r>
      <w:proofErr w:type="spellEnd"/>
      <w:r w:rsidR="009A73C8">
        <w:t xml:space="preserve"> with s 424 of the Criminal Procedure Code 2010 (2020 Rev Ed). </w:t>
      </w:r>
    </w:p>
  </w:footnote>
  <w:footnote w:id="24">
    <w:p w14:paraId="3E04842E" w14:textId="066D1F28" w:rsidR="00E6255F" w:rsidRPr="00E6255F" w:rsidRDefault="00E6255F">
      <w:pPr>
        <w:pStyle w:val="FootnoteText"/>
        <w:rPr>
          <w:lang w:val="en-US"/>
        </w:rPr>
      </w:pPr>
      <w:r>
        <w:rPr>
          <w:rStyle w:val="FootnoteReference"/>
        </w:rPr>
        <w:footnoteRef/>
      </w:r>
      <w:r>
        <w:t xml:space="preserve"> </w:t>
      </w:r>
      <w:r w:rsidR="00A716E5" w:rsidRPr="00083F78">
        <w:rPr>
          <w:i/>
          <w:iCs/>
        </w:rPr>
        <w:t>Tan Seng Kee v Attorney-General</w:t>
      </w:r>
      <w:r w:rsidR="00A716E5" w:rsidRPr="0011352C">
        <w:t xml:space="preserve"> [2022] SGCA 16</w:t>
      </w:r>
      <w:r w:rsidR="00A716E5">
        <w:t xml:space="preserve"> at [107].</w:t>
      </w:r>
    </w:p>
  </w:footnote>
  <w:footnote w:id="25">
    <w:p w14:paraId="1EACD277" w14:textId="77777777" w:rsidR="00E477D5" w:rsidRPr="005A2F24" w:rsidRDefault="00E477D5" w:rsidP="00E477D5">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[109].</w:t>
      </w:r>
    </w:p>
  </w:footnote>
  <w:footnote w:id="26">
    <w:p w14:paraId="363B55EE" w14:textId="7B0EFF0B" w:rsidR="006F65A0" w:rsidRPr="006F65A0" w:rsidRDefault="006F65A0" w:rsidP="006F65A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[152].</w:t>
      </w:r>
    </w:p>
  </w:footnote>
  <w:footnote w:id="27">
    <w:p w14:paraId="2BFBB4CA" w14:textId="1956A208" w:rsidR="00E477D5" w:rsidRPr="005A2F24" w:rsidRDefault="00E477D5" w:rsidP="003F52C5">
      <w:pPr>
        <w:pStyle w:val="FootnoteText"/>
        <w:ind w:left="0" w:firstLine="0"/>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[109], citing </w:t>
      </w:r>
      <w:r w:rsidR="003F52C5" w:rsidRPr="003F52C5">
        <w:t>Tom Bingham, The Rule of Law (Penguin Books, 2011) at pp 9</w:t>
      </w:r>
      <w:r w:rsidR="003F52C5">
        <w:t>1</w:t>
      </w:r>
      <w:r w:rsidR="003F52C5" w:rsidRPr="006E1AE8">
        <w:t>–</w:t>
      </w:r>
      <w:r w:rsidR="003F52C5" w:rsidRPr="003F52C5">
        <w:t>95).</w:t>
      </w:r>
    </w:p>
  </w:footnote>
  <w:footnote w:id="28">
    <w:p w14:paraId="0EC81977" w14:textId="1BE14D98" w:rsidR="005A2F24" w:rsidRPr="005A2F24" w:rsidRDefault="005A2F24" w:rsidP="005A2F24">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[109].</w:t>
      </w:r>
    </w:p>
  </w:footnote>
  <w:footnote w:id="29">
    <w:p w14:paraId="3F75E93D" w14:textId="1C3F01B5" w:rsidR="00537568" w:rsidRPr="00537568" w:rsidRDefault="00537568" w:rsidP="0053756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[132]. </w:t>
      </w:r>
    </w:p>
  </w:footnote>
  <w:footnote w:id="30">
    <w:p w14:paraId="723862EA" w14:textId="493EE37D" w:rsidR="005876E0" w:rsidRPr="005876E0" w:rsidRDefault="005876E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[133].</w:t>
      </w:r>
    </w:p>
  </w:footnote>
  <w:footnote w:id="31">
    <w:p w14:paraId="3B13275E" w14:textId="77777777" w:rsidR="006627A9" w:rsidRPr="005876E0" w:rsidRDefault="006627A9" w:rsidP="006627A9">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[134]. </w:t>
      </w:r>
    </w:p>
  </w:footnote>
  <w:footnote w:id="32">
    <w:p w14:paraId="693745B2" w14:textId="54F60EC2" w:rsidR="00191686" w:rsidRPr="00191686" w:rsidRDefault="00191686" w:rsidP="00191686">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[135]</w:t>
      </w:r>
      <w:r w:rsidR="00040A6F">
        <w:t xml:space="preserve"> &amp; [140]. </w:t>
      </w:r>
    </w:p>
  </w:footnote>
  <w:footnote w:id="33">
    <w:p w14:paraId="41187E83" w14:textId="28C607BE" w:rsidR="005407BB" w:rsidRPr="005407BB" w:rsidRDefault="005407BB">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[136] &amp; [138].</w:t>
      </w:r>
    </w:p>
  </w:footnote>
  <w:footnote w:id="34">
    <w:p w14:paraId="7ABB5BE5" w14:textId="7E3E3659" w:rsidR="002450C9" w:rsidRPr="002450C9" w:rsidRDefault="002450C9">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[140].</w:t>
      </w:r>
    </w:p>
  </w:footnote>
  <w:footnote w:id="35">
    <w:p w14:paraId="611F9A24" w14:textId="70989C12" w:rsidR="00CA185E" w:rsidRPr="00CA185E" w:rsidRDefault="00CA185E">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[147].</w:t>
      </w:r>
    </w:p>
  </w:footnote>
  <w:footnote w:id="36">
    <w:p w14:paraId="0C2379E5" w14:textId="180C77CD" w:rsidR="00936C6F" w:rsidRPr="00936C6F" w:rsidRDefault="00936C6F">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[149]</w:t>
      </w:r>
      <w:r w:rsidR="001067A5">
        <w:t xml:space="preserve">. </w:t>
      </w:r>
    </w:p>
  </w:footnote>
  <w:footnote w:id="37">
    <w:p w14:paraId="164FE280" w14:textId="590CCDCB" w:rsidR="00FA74BE" w:rsidRPr="00FA74BE" w:rsidRDefault="00FA74BE">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[150].</w:t>
      </w:r>
    </w:p>
  </w:footnote>
  <w:footnote w:id="38">
    <w:p w14:paraId="4A7A6E77" w14:textId="354BA0CE" w:rsidR="008F7F46" w:rsidRPr="008F7F46" w:rsidRDefault="008F7F46" w:rsidP="008F7F46">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[151].</w:t>
      </w:r>
    </w:p>
  </w:footnote>
  <w:footnote w:id="39">
    <w:p w14:paraId="15993B64" w14:textId="002BE777" w:rsidR="001746C0" w:rsidRPr="005A2F24" w:rsidRDefault="001746C0" w:rsidP="001746C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[109]</w:t>
      </w:r>
      <w:r w:rsidR="00E5025B">
        <w:t xml:space="preserve"> &amp; [152].</w:t>
      </w:r>
    </w:p>
  </w:footnote>
  <w:footnote w:id="40">
    <w:p w14:paraId="5B08FB1B" w14:textId="6C950A4C" w:rsidR="0071516F" w:rsidRPr="0071516F" w:rsidRDefault="0071516F" w:rsidP="00E5025B">
      <w:pPr>
        <w:pStyle w:val="FootnoteText"/>
        <w:rPr>
          <w:lang w:val="en-US"/>
        </w:rPr>
      </w:pPr>
      <w:r>
        <w:rPr>
          <w:rStyle w:val="FootnoteReference"/>
        </w:rPr>
        <w:footnoteRef/>
      </w:r>
      <w:r>
        <w:t xml:space="preserve"> </w:t>
      </w:r>
      <w:r w:rsidR="00E5025B" w:rsidRPr="00083F78">
        <w:rPr>
          <w:i/>
          <w:iCs/>
        </w:rPr>
        <w:t>Tan Seng Kee v Attorney-General</w:t>
      </w:r>
      <w:r w:rsidR="00E5025B" w:rsidRPr="0011352C">
        <w:t xml:space="preserve"> [2022] SGCA 16</w:t>
      </w:r>
      <w:r w:rsidR="00E5025B">
        <w:t xml:space="preserve"> at [152].</w:t>
      </w:r>
    </w:p>
  </w:footnote>
  <w:footnote w:id="41">
    <w:p w14:paraId="1CB0257C" w14:textId="18373EA7" w:rsidR="0071516F" w:rsidRPr="0071516F" w:rsidRDefault="0071516F" w:rsidP="00E5025B">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[151(a)] &amp; [</w:t>
      </w:r>
      <w:r w:rsidR="00E5025B">
        <w:t>152].</w:t>
      </w:r>
    </w:p>
  </w:footnote>
  <w:footnote w:id="42">
    <w:p w14:paraId="142B7665" w14:textId="77777777" w:rsidR="003E2C41" w:rsidRPr="0062781F" w:rsidRDefault="003E2C41" w:rsidP="003E2C41">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[150].</w:t>
      </w:r>
    </w:p>
  </w:footnote>
  <w:footnote w:id="43">
    <w:p w14:paraId="4A5A872C" w14:textId="679E4AC6" w:rsidR="006324B3" w:rsidRPr="006324B3" w:rsidRDefault="006324B3" w:rsidP="006324B3">
      <w:pPr>
        <w:pStyle w:val="FootnoteText"/>
        <w:ind w:left="0" w:firstLine="0"/>
        <w:rPr>
          <w:lang w:val="en-US"/>
        </w:rPr>
      </w:pPr>
      <w:r>
        <w:rPr>
          <w:rStyle w:val="FootnoteReference"/>
        </w:rPr>
        <w:footnoteRef/>
      </w:r>
      <w:r>
        <w:t xml:space="preserve"> For example, </w:t>
      </w:r>
      <w:r w:rsidRPr="003D539D">
        <w:t>indecent behaviour in public</w:t>
      </w:r>
      <w:r>
        <w:t xml:space="preserve"> may be prosecuted under</w:t>
      </w:r>
      <w:r w:rsidRPr="003D539D">
        <w:t xml:space="preserve"> s 20 of the Miscellaneous Offences (Public Order and Nuisance) Act 1906</w:t>
      </w:r>
      <w:r>
        <w:t xml:space="preserve"> (2020 Rev Ed)</w:t>
      </w:r>
      <w:r w:rsidRPr="003D539D">
        <w:t xml:space="preserve"> and s 294 of the </w:t>
      </w:r>
      <w:r>
        <w:t xml:space="preserve">Revised </w:t>
      </w:r>
      <w:r w:rsidRPr="003D539D">
        <w:t xml:space="preserve">PC, while sexual acts involving minors </w:t>
      </w:r>
      <w:r>
        <w:t>may be prosecuted</w:t>
      </w:r>
      <w:r w:rsidRPr="003D539D">
        <w:t xml:space="preserve"> under provisions such as ss 376A to 376C of the </w:t>
      </w:r>
      <w:r>
        <w:t>Revised PC).</w:t>
      </w:r>
    </w:p>
  </w:footnote>
  <w:footnote w:id="44">
    <w:p w14:paraId="09E690D8" w14:textId="1C181FC3" w:rsidR="00E5025B" w:rsidRPr="00E5025B" w:rsidRDefault="00E5025B">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[153].</w:t>
      </w:r>
    </w:p>
  </w:footnote>
  <w:footnote w:id="45">
    <w:p w14:paraId="27694105" w14:textId="6C5883E2" w:rsidR="006E3C89" w:rsidRPr="006E3C89" w:rsidRDefault="006E3C89" w:rsidP="006E3C89">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[156]</w:t>
      </w:r>
      <w:proofErr w:type="gramStart"/>
      <w:r w:rsidRPr="006E1AE8">
        <w:t>–</w:t>
      </w:r>
      <w:r>
        <w:t>[</w:t>
      </w:r>
      <w:proofErr w:type="gramEnd"/>
      <w:r>
        <w:t>157].</w:t>
      </w:r>
    </w:p>
  </w:footnote>
  <w:footnote w:id="46">
    <w:p w14:paraId="662E8249" w14:textId="0D9BF375" w:rsidR="00A13040" w:rsidRPr="00A13040" w:rsidRDefault="00A13040" w:rsidP="00A1304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[158].</w:t>
      </w:r>
    </w:p>
  </w:footnote>
  <w:footnote w:id="47">
    <w:p w14:paraId="626CE735" w14:textId="03FFF2C6" w:rsidR="003A5AE8" w:rsidRPr="003A5AE8" w:rsidRDefault="003A5AE8" w:rsidP="003A5AE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[159].</w:t>
      </w:r>
    </w:p>
  </w:footnote>
  <w:footnote w:id="48">
    <w:p w14:paraId="157B49BC" w14:textId="382D166E" w:rsidR="007A7051" w:rsidRPr="007A7051" w:rsidRDefault="007A7051" w:rsidP="007A7051">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[164].</w:t>
      </w:r>
    </w:p>
  </w:footnote>
  <w:footnote w:id="49">
    <w:p w14:paraId="0AC60E52" w14:textId="11D92F03" w:rsidR="00BA2530" w:rsidRPr="00BA2530" w:rsidRDefault="00BA2530">
      <w:pPr>
        <w:pStyle w:val="FootnoteText"/>
        <w:rPr>
          <w:lang w:val="en-US"/>
        </w:rPr>
      </w:pPr>
      <w:r>
        <w:rPr>
          <w:rStyle w:val="FootnoteReference"/>
        </w:rPr>
        <w:footnoteRef/>
      </w:r>
      <w:r>
        <w:t xml:space="preserve"> </w:t>
      </w:r>
      <w:r>
        <w:rPr>
          <w:lang w:val="en-US"/>
        </w:rPr>
        <w:t>See</w:t>
      </w:r>
      <w:r w:rsidRPr="00BA2530">
        <w:rPr>
          <w:i/>
          <w:iCs/>
          <w:lang w:val="en-US"/>
        </w:rPr>
        <w:t xml:space="preserve"> Tan Cheng Bock v Attorney-General </w:t>
      </w:r>
      <w:r w:rsidRPr="00BA2530">
        <w:rPr>
          <w:lang w:val="en-US"/>
        </w:rPr>
        <w:t>[2017] 2 SLR 850</w:t>
      </w:r>
      <w:r>
        <w:rPr>
          <w:lang w:val="en-US"/>
        </w:rPr>
        <w:t xml:space="preserve"> (“</w:t>
      </w:r>
      <w:r w:rsidRPr="00BA2530">
        <w:rPr>
          <w:i/>
          <w:iCs/>
          <w:lang w:val="en-US"/>
        </w:rPr>
        <w:t>Tan Cheng Bock</w:t>
      </w:r>
      <w:r>
        <w:rPr>
          <w:lang w:val="en-US"/>
        </w:rPr>
        <w:t>”).</w:t>
      </w:r>
    </w:p>
  </w:footnote>
  <w:footnote w:id="50">
    <w:p w14:paraId="0469D8BA" w14:textId="77777777" w:rsidR="00072E06" w:rsidRPr="000077AC" w:rsidRDefault="00072E06" w:rsidP="00072E06">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[167].</w:t>
      </w:r>
    </w:p>
  </w:footnote>
  <w:footnote w:id="51">
    <w:p w14:paraId="7C101DDD" w14:textId="18569FFA" w:rsidR="00675B43" w:rsidRPr="00675B43" w:rsidRDefault="00675B43" w:rsidP="00675B43">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[173].</w:t>
      </w:r>
    </w:p>
  </w:footnote>
  <w:footnote w:id="52">
    <w:p w14:paraId="7E08DD0A" w14:textId="5EE4203D" w:rsidR="00881D5A" w:rsidRPr="00881D5A" w:rsidRDefault="00881D5A" w:rsidP="00881D5A">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[174].</w:t>
      </w:r>
    </w:p>
  </w:footnote>
  <w:footnote w:id="53">
    <w:p w14:paraId="434DBECA" w14:textId="254016FA" w:rsidR="001A5E67" w:rsidRPr="001A5E67" w:rsidRDefault="001A5E67" w:rsidP="001A5E67">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[176].</w:t>
      </w:r>
    </w:p>
  </w:footnote>
  <w:footnote w:id="54">
    <w:p w14:paraId="4D852787" w14:textId="43C7287A" w:rsidR="00FA4961" w:rsidRPr="00FA4961" w:rsidRDefault="00FA4961" w:rsidP="00FA4961">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[165] &amp; [176]</w:t>
      </w:r>
      <w:r w:rsidR="00A22E0C">
        <w:t>.</w:t>
      </w:r>
    </w:p>
  </w:footnote>
  <w:footnote w:id="55">
    <w:p w14:paraId="2D179EF3" w14:textId="39F30CD8" w:rsidR="00016B88" w:rsidRPr="00016B88" w:rsidRDefault="00016B88" w:rsidP="00016B8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[235].</w:t>
      </w:r>
    </w:p>
  </w:footnote>
  <w:footnote w:id="56">
    <w:p w14:paraId="3AC2CB58" w14:textId="6574900D" w:rsidR="00A22E0C" w:rsidRPr="00A22E0C" w:rsidRDefault="00A22E0C" w:rsidP="00A22E0C">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[248]</w:t>
      </w:r>
      <w:proofErr w:type="gramStart"/>
      <w:r w:rsidRPr="006E1AE8">
        <w:t>–</w:t>
      </w:r>
      <w:r>
        <w:t>[</w:t>
      </w:r>
      <w:proofErr w:type="gramEnd"/>
      <w:r>
        <w:t>252].</w:t>
      </w:r>
    </w:p>
  </w:footnote>
  <w:footnote w:id="57">
    <w:p w14:paraId="2D9429CB" w14:textId="7719854F" w:rsidR="00933618" w:rsidRPr="00933618" w:rsidRDefault="00933618" w:rsidP="0093361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[244]</w:t>
      </w:r>
      <w:proofErr w:type="gramStart"/>
      <w:r w:rsidRPr="006E1AE8">
        <w:t>–</w:t>
      </w:r>
      <w:r>
        <w:t>[</w:t>
      </w:r>
      <w:proofErr w:type="gramEnd"/>
      <w:r>
        <w:t>246] &amp; [252].</w:t>
      </w:r>
    </w:p>
  </w:footnote>
  <w:footnote w:id="58">
    <w:p w14:paraId="02C6D209" w14:textId="08824C82" w:rsidR="004A34E0" w:rsidRPr="004A34E0" w:rsidRDefault="004A34E0" w:rsidP="004A34E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[259].</w:t>
      </w:r>
    </w:p>
  </w:footnote>
  <w:footnote w:id="59">
    <w:p w14:paraId="665636ED" w14:textId="0219499D" w:rsidR="00852E2D" w:rsidRPr="00852E2D" w:rsidRDefault="00852E2D" w:rsidP="00852E2D">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[257].</w:t>
      </w:r>
    </w:p>
  </w:footnote>
  <w:footnote w:id="60">
    <w:p w14:paraId="47F37C91" w14:textId="1E835027" w:rsidR="00852E2D" w:rsidRPr="00852E2D" w:rsidRDefault="00852E2D" w:rsidP="00852E2D">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[265].</w:t>
      </w:r>
    </w:p>
  </w:footnote>
  <w:footnote w:id="61">
    <w:p w14:paraId="1F3E258C" w14:textId="4FFA0A48" w:rsidR="005B4C61" w:rsidRPr="005B4C61" w:rsidRDefault="005B4C61" w:rsidP="00F07FE3">
      <w:pPr>
        <w:pStyle w:val="FootnoteText"/>
        <w:ind w:left="0" w:firstLine="0"/>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[268].</w:t>
      </w:r>
      <w:r w:rsidR="00F07FE3">
        <w:t xml:space="preserve"> See </w:t>
      </w:r>
      <w:r w:rsidR="00A51818">
        <w:t xml:space="preserve">also </w:t>
      </w:r>
      <w:r w:rsidR="00F07FE3">
        <w:t>[20]</w:t>
      </w:r>
      <w:proofErr w:type="gramStart"/>
      <w:r w:rsidR="00F07FE3" w:rsidRPr="006E1AE8">
        <w:t>–</w:t>
      </w:r>
      <w:r w:rsidR="00F07FE3">
        <w:t>[</w:t>
      </w:r>
      <w:proofErr w:type="gramEnd"/>
      <w:r w:rsidR="00F07FE3">
        <w:t xml:space="preserve">21] of this paper above. </w:t>
      </w:r>
    </w:p>
  </w:footnote>
  <w:footnote w:id="62">
    <w:p w14:paraId="0DB1ED71" w14:textId="314E0B28" w:rsidR="005B4C61" w:rsidRPr="005B4C61" w:rsidRDefault="005B4C61" w:rsidP="005B4C61">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[267].</w:t>
      </w:r>
    </w:p>
  </w:footnote>
  <w:footnote w:id="63">
    <w:p w14:paraId="0722FA20" w14:textId="3B6D0002" w:rsidR="00F22A67" w:rsidRPr="00F22A67" w:rsidRDefault="00F22A67" w:rsidP="00F22A67">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[274].</w:t>
      </w:r>
    </w:p>
  </w:footnote>
  <w:footnote w:id="64">
    <w:p w14:paraId="0BCEF222" w14:textId="748213C5" w:rsidR="001F2C15" w:rsidRPr="001F2C15" w:rsidRDefault="001F2C15" w:rsidP="001F2C15">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[279].</w:t>
      </w:r>
    </w:p>
  </w:footnote>
  <w:footnote w:id="65">
    <w:p w14:paraId="1B61FCD3" w14:textId="465A2BFB" w:rsidR="001F2C15" w:rsidRPr="001F2C15" w:rsidRDefault="001F2C15">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[279]</w:t>
      </w:r>
      <w:proofErr w:type="gramStart"/>
      <w:r w:rsidRPr="006E1AE8">
        <w:t>–</w:t>
      </w:r>
      <w:r>
        <w:t>[</w:t>
      </w:r>
      <w:proofErr w:type="gramEnd"/>
      <w:r>
        <w:t>280].</w:t>
      </w:r>
    </w:p>
  </w:footnote>
  <w:footnote w:id="66">
    <w:p w14:paraId="0C6CB284" w14:textId="3A135A1C" w:rsidR="000D5096" w:rsidRPr="000D5096" w:rsidRDefault="000D5096" w:rsidP="00471AE0">
      <w:pPr>
        <w:pStyle w:val="FootnoteText"/>
        <w:rPr>
          <w:lang w:val="en-US"/>
        </w:rPr>
      </w:pPr>
      <w:r>
        <w:rPr>
          <w:rStyle w:val="FootnoteReference"/>
        </w:rPr>
        <w:footnoteRef/>
      </w:r>
      <w:r>
        <w:t xml:space="preserve"> </w:t>
      </w:r>
      <w:r w:rsidR="00471AE0" w:rsidRPr="00083F78">
        <w:rPr>
          <w:i/>
          <w:iCs/>
        </w:rPr>
        <w:t>Tan Seng Kee v Attorney-General</w:t>
      </w:r>
      <w:r w:rsidR="00471AE0" w:rsidRPr="0011352C">
        <w:t xml:space="preserve"> [2022] SGCA 16</w:t>
      </w:r>
      <w:r w:rsidR="00471AE0">
        <w:t xml:space="preserve"> at [282].</w:t>
      </w:r>
    </w:p>
  </w:footnote>
  <w:footnote w:id="67">
    <w:p w14:paraId="3B264647" w14:textId="261E6BDE" w:rsidR="00471AE0" w:rsidRPr="00471AE0" w:rsidRDefault="00471AE0" w:rsidP="00471AE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[285].</w:t>
      </w:r>
    </w:p>
  </w:footnote>
  <w:footnote w:id="68">
    <w:p w14:paraId="3A951B66" w14:textId="4403911C" w:rsidR="00A51818" w:rsidRPr="00A51818" w:rsidRDefault="00A51818" w:rsidP="00A51818">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[295].</w:t>
      </w:r>
    </w:p>
  </w:footnote>
  <w:footnote w:id="69">
    <w:p w14:paraId="514B7780" w14:textId="0F60F8A4" w:rsidR="00B41B5B" w:rsidRPr="00B41B5B" w:rsidRDefault="00B41B5B" w:rsidP="00B41B5B">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[296].</w:t>
      </w:r>
    </w:p>
  </w:footnote>
  <w:footnote w:id="70">
    <w:p w14:paraId="55F47124" w14:textId="136AEF69" w:rsidR="008D08D4" w:rsidRPr="008D08D4" w:rsidRDefault="008D08D4" w:rsidP="008D08D4">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[297].</w:t>
      </w:r>
    </w:p>
  </w:footnote>
  <w:footnote w:id="71">
    <w:p w14:paraId="47613AC1" w14:textId="383DB8CF" w:rsidR="00DF1C54" w:rsidRPr="00DF1C54" w:rsidRDefault="00DF1C54" w:rsidP="00DF1C54">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[298].</w:t>
      </w:r>
    </w:p>
  </w:footnote>
  <w:footnote w:id="72">
    <w:p w14:paraId="0BF00DBE" w14:textId="12078EF2" w:rsidR="001E7559" w:rsidRPr="001E7559" w:rsidRDefault="001E7559" w:rsidP="001E7559">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w:t>
      </w:r>
      <w:r w:rsidR="007553FD">
        <w:t>3</w:t>
      </w:r>
      <w:r>
        <w:t xml:space="preserve">05]. </w:t>
      </w:r>
    </w:p>
  </w:footnote>
  <w:footnote w:id="73">
    <w:p w14:paraId="460F72A6" w14:textId="2C03ECD2" w:rsidR="007553FD" w:rsidRPr="007553FD" w:rsidRDefault="007553FD" w:rsidP="007553FD">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[309].</w:t>
      </w:r>
    </w:p>
  </w:footnote>
  <w:footnote w:id="74">
    <w:p w14:paraId="6FBE36B4" w14:textId="1DB0CB03" w:rsidR="007553FD" w:rsidRPr="007553FD" w:rsidRDefault="007553FD" w:rsidP="007553FD">
      <w:pPr>
        <w:pStyle w:val="FootnoteText"/>
        <w:ind w:left="0" w:firstLine="0"/>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[309] citing </w:t>
      </w:r>
      <w:r w:rsidRPr="007553FD">
        <w:rPr>
          <w:i/>
          <w:iCs/>
        </w:rPr>
        <w:t xml:space="preserve">Lim Meng </w:t>
      </w:r>
      <w:proofErr w:type="spellStart"/>
      <w:r w:rsidRPr="007553FD">
        <w:rPr>
          <w:i/>
          <w:iCs/>
        </w:rPr>
        <w:t>Suang</w:t>
      </w:r>
      <w:proofErr w:type="spellEnd"/>
      <w:r w:rsidRPr="007553FD">
        <w:rPr>
          <w:i/>
          <w:iCs/>
        </w:rPr>
        <w:t xml:space="preserve"> v Attorney-General </w:t>
      </w:r>
      <w:r w:rsidRPr="007553FD">
        <w:t xml:space="preserve">[2015] 1 SLR 26 </w:t>
      </w:r>
      <w:r>
        <w:t>at [65].</w:t>
      </w:r>
    </w:p>
  </w:footnote>
  <w:footnote w:id="75">
    <w:p w14:paraId="24283A66" w14:textId="300F02A1" w:rsidR="00A06D60" w:rsidRPr="00A06D60" w:rsidRDefault="00A06D60" w:rsidP="00A06D60">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[311].</w:t>
      </w:r>
    </w:p>
  </w:footnote>
  <w:footnote w:id="76">
    <w:p w14:paraId="54F4A64C" w14:textId="0910AEA6" w:rsidR="004B65D7" w:rsidRPr="004B65D7" w:rsidRDefault="004B65D7" w:rsidP="004B65D7">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[324].</w:t>
      </w:r>
    </w:p>
  </w:footnote>
  <w:footnote w:id="77">
    <w:p w14:paraId="0DA80AD8" w14:textId="68CE20F3" w:rsidR="0022166C" w:rsidRPr="0022166C" w:rsidRDefault="0022166C" w:rsidP="0022166C">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[324].</w:t>
      </w:r>
    </w:p>
  </w:footnote>
  <w:footnote w:id="78">
    <w:p w14:paraId="761D71D6" w14:textId="77777777" w:rsidR="008A1451" w:rsidRPr="00394C2F" w:rsidRDefault="008A1451" w:rsidP="008A1451">
      <w:pPr>
        <w:pStyle w:val="FootnoteText"/>
        <w:ind w:left="0" w:firstLine="0"/>
        <w:rPr>
          <w:lang w:val="en-US"/>
        </w:rPr>
      </w:pPr>
      <w:r>
        <w:rPr>
          <w:rStyle w:val="FootnoteReference"/>
        </w:rPr>
        <w:footnoteRef/>
      </w:r>
      <w:r>
        <w:t xml:space="preserve"> </w:t>
      </w:r>
      <w:r w:rsidRPr="00083F78">
        <w:rPr>
          <w:i/>
          <w:iCs/>
        </w:rPr>
        <w:t>Tan Seng Kee v Attorney-General</w:t>
      </w:r>
      <w:r w:rsidRPr="0011352C">
        <w:t xml:space="preserve"> [2022] SGCA 16</w:t>
      </w:r>
      <w:r>
        <w:t xml:space="preserve"> at [146]; </w:t>
      </w:r>
      <w:r w:rsidRPr="00CD6105">
        <w:rPr>
          <w:i/>
          <w:iCs/>
        </w:rPr>
        <w:t>Chiu Teng @ Kallang Pte Ltd v Singapore Land Authority</w:t>
      </w:r>
      <w:r w:rsidRPr="00CD6105">
        <w:t xml:space="preserve"> [2014] 1 SLR 1047 (“</w:t>
      </w:r>
      <w:r w:rsidRPr="00CD6105">
        <w:rPr>
          <w:i/>
          <w:iCs/>
        </w:rPr>
        <w:t>Chiu Teng</w:t>
      </w:r>
      <w:r w:rsidRPr="00CD6105">
        <w:t>”)</w:t>
      </w:r>
      <w:r>
        <w:t xml:space="preserve"> at [119].</w:t>
      </w:r>
    </w:p>
  </w:footnote>
  <w:footnote w:id="79">
    <w:p w14:paraId="476C3033" w14:textId="24458D32" w:rsidR="00366D1B" w:rsidRPr="00366D1B" w:rsidRDefault="00366D1B">
      <w:pPr>
        <w:pStyle w:val="FootnoteText"/>
        <w:rPr>
          <w:lang w:val="en-US"/>
        </w:rPr>
      </w:pPr>
      <w:r>
        <w:rPr>
          <w:rStyle w:val="FootnoteReference"/>
        </w:rPr>
        <w:footnoteRef/>
      </w:r>
      <w:r>
        <w:t xml:space="preserve"> </w:t>
      </w:r>
      <w:r w:rsidRPr="00CD6105">
        <w:rPr>
          <w:i/>
          <w:iCs/>
        </w:rPr>
        <w:t>Chiu Teng @ Kallang Pte Ltd v Singapore Land Authority</w:t>
      </w:r>
      <w:r w:rsidRPr="00CD6105">
        <w:t xml:space="preserve"> [2014] 1 SLR 1047 </w:t>
      </w:r>
      <w:r>
        <w:t>at [119].</w:t>
      </w:r>
    </w:p>
  </w:footnote>
  <w:footnote w:id="80">
    <w:p w14:paraId="1D87BD33" w14:textId="60B3F333" w:rsidR="002B12DC" w:rsidRPr="002B12DC" w:rsidRDefault="002B12DC">
      <w:pPr>
        <w:pStyle w:val="FootnoteText"/>
        <w:rPr>
          <w:lang w:val="en-US"/>
        </w:rPr>
      </w:pPr>
      <w:r>
        <w:rPr>
          <w:rStyle w:val="FootnoteReference"/>
        </w:rPr>
        <w:footnoteRef/>
      </w:r>
      <w:r>
        <w:t xml:space="preserve"> </w:t>
      </w:r>
      <w:r>
        <w:rPr>
          <w:lang w:val="en-US"/>
        </w:rPr>
        <w:t xml:space="preserve">See Art </w:t>
      </w:r>
      <w:r w:rsidR="00A144D3">
        <w:rPr>
          <w:lang w:val="en-US"/>
        </w:rPr>
        <w:t xml:space="preserve">35(8) of the Constitution. </w:t>
      </w:r>
      <w:r>
        <w:rPr>
          <w:lang w:val="en-US"/>
        </w:rPr>
        <w:t xml:space="preserve"> </w:t>
      </w:r>
    </w:p>
  </w:footnote>
  <w:footnote w:id="81">
    <w:p w14:paraId="7E8537A2" w14:textId="35B8F2C1" w:rsidR="00572F0A" w:rsidRPr="00572F0A" w:rsidRDefault="00572F0A">
      <w:pPr>
        <w:pStyle w:val="FootnoteText"/>
        <w:rPr>
          <w:lang w:val="en-US"/>
        </w:rPr>
      </w:pPr>
      <w:r>
        <w:rPr>
          <w:rStyle w:val="FootnoteReference"/>
        </w:rPr>
        <w:footnoteRef/>
      </w:r>
      <w:r>
        <w:t xml:space="preserve"> </w:t>
      </w:r>
      <w:r w:rsidRPr="00083F78">
        <w:rPr>
          <w:i/>
          <w:iCs/>
        </w:rPr>
        <w:t>Tan Seng Kee v Attorney-General</w:t>
      </w:r>
      <w:r w:rsidRPr="0011352C">
        <w:t xml:space="preserve"> [2022] SGCA 16</w:t>
      </w:r>
      <w:r>
        <w:t xml:space="preserve"> at [95].</w:t>
      </w:r>
    </w:p>
  </w:footnote>
  <w:footnote w:id="82">
    <w:p w14:paraId="54941359" w14:textId="6CC31E5C" w:rsidR="006F2505" w:rsidRPr="00B77CBB" w:rsidRDefault="006F2505" w:rsidP="00B77CBB">
      <w:pPr>
        <w:pStyle w:val="FootnoteText"/>
      </w:pPr>
      <w:r>
        <w:rPr>
          <w:rStyle w:val="FootnoteReference"/>
        </w:rPr>
        <w:footnoteRef/>
      </w:r>
      <w:r>
        <w:t xml:space="preserve"> </w:t>
      </w:r>
      <w:r w:rsidR="00B77CBB" w:rsidRPr="00B77CBB">
        <w:rPr>
          <w:i/>
          <w:iCs/>
        </w:rPr>
        <w:t xml:space="preserve">Yong </w:t>
      </w:r>
      <w:proofErr w:type="spellStart"/>
      <w:r w:rsidR="00B77CBB" w:rsidRPr="00B77CBB">
        <w:rPr>
          <w:i/>
          <w:iCs/>
        </w:rPr>
        <w:t>Vui</w:t>
      </w:r>
      <w:proofErr w:type="spellEnd"/>
      <w:r w:rsidR="00B77CBB" w:rsidRPr="00B77CBB">
        <w:rPr>
          <w:i/>
          <w:iCs/>
        </w:rPr>
        <w:t xml:space="preserve"> Kong v Public Prosecutor</w:t>
      </w:r>
      <w:r w:rsidR="00B77CBB">
        <w:t xml:space="preserve"> [2010] 3 SLR 489 at [16].</w:t>
      </w:r>
    </w:p>
  </w:footnote>
  <w:footnote w:id="83">
    <w:p w14:paraId="6C76F9D8" w14:textId="066CB198" w:rsidR="00841904" w:rsidRPr="00841904" w:rsidRDefault="00841904" w:rsidP="00841904">
      <w:pPr>
        <w:pStyle w:val="FootnoteText"/>
        <w:rPr>
          <w:lang w:val="en-US"/>
        </w:rPr>
      </w:pPr>
      <w:r>
        <w:rPr>
          <w:rStyle w:val="FootnoteReference"/>
        </w:rPr>
        <w:footnoteRef/>
      </w:r>
      <w:r>
        <w:t xml:space="preserve"> See </w:t>
      </w:r>
      <w:r w:rsidRPr="00083F78">
        <w:rPr>
          <w:i/>
          <w:iCs/>
        </w:rPr>
        <w:t>Tan Seng Kee v Attorney-General</w:t>
      </w:r>
      <w:r w:rsidRPr="0011352C">
        <w:t xml:space="preserve"> [2022] SGCA 16</w:t>
      </w:r>
      <w:r>
        <w:t xml:space="preserve"> at [326].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A6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F25C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CC2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4CF8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B07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01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41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92C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8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8AA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89D"/>
    <w:multiLevelType w:val="hybridMultilevel"/>
    <w:tmpl w:val="CA22F306"/>
    <w:lvl w:ilvl="0" w:tplc="038A0C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A577B4"/>
    <w:multiLevelType w:val="hybridMultilevel"/>
    <w:tmpl w:val="25860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95B18"/>
    <w:multiLevelType w:val="multilevel"/>
    <w:tmpl w:val="AC9EACE2"/>
    <w:lvl w:ilvl="0">
      <w:start w:val="1"/>
      <w:numFmt w:val="decimal"/>
      <w:lvlText w:val="%1"/>
      <w:lvlJc w:val="left"/>
      <w:pPr>
        <w:tabs>
          <w:tab w:val="num" w:pos="547"/>
        </w:tabs>
        <w:ind w:left="54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BF2D3A"/>
    <w:multiLevelType w:val="hybridMultilevel"/>
    <w:tmpl w:val="AC9EACE2"/>
    <w:lvl w:ilvl="0" w:tplc="C13EED7E">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27122"/>
    <w:multiLevelType w:val="multilevel"/>
    <w:tmpl w:val="777A07F0"/>
    <w:lvl w:ilvl="0">
      <w:start w:val="1"/>
      <w:numFmt w:val="decimal"/>
      <w:pStyle w:val="Cont-1"/>
      <w:lvlText w:val="%1"/>
      <w:lvlJc w:val="left"/>
      <w:pPr>
        <w:ind w:left="0" w:firstLine="0"/>
      </w:pPr>
      <w:rPr>
        <w:rFonts w:hint="default"/>
      </w:rPr>
    </w:lvl>
    <w:lvl w:ilvl="1">
      <w:start w:val="1"/>
      <w:numFmt w:val="lowerLetter"/>
      <w:pStyle w:val="Cont-2"/>
      <w:lvlText w:val="(%2)"/>
      <w:lvlJc w:val="left"/>
      <w:pPr>
        <w:ind w:left="720" w:firstLine="0"/>
      </w:pPr>
      <w:rPr>
        <w:rFonts w:hint="default"/>
      </w:rPr>
    </w:lvl>
    <w:lvl w:ilvl="2">
      <w:start w:val="1"/>
      <w:numFmt w:val="lowerRoman"/>
      <w:pStyle w:val="Cont-3"/>
      <w:lvlText w:val="(%3)"/>
      <w:lvlJc w:val="left"/>
      <w:pPr>
        <w:ind w:left="1440" w:firstLine="0"/>
      </w:pPr>
      <w:rPr>
        <w:rFonts w:hint="default"/>
      </w:rPr>
    </w:lvl>
    <w:lvl w:ilvl="3">
      <w:start w:val="1"/>
      <w:numFmt w:val="upperLetter"/>
      <w:pStyle w:val="Cont-4"/>
      <w:lvlText w:val="(%4)"/>
      <w:lvlJc w:val="left"/>
      <w:pPr>
        <w:ind w:left="2160" w:firstLine="0"/>
      </w:pPr>
      <w:rPr>
        <w:rFonts w:hint="default"/>
      </w:rPr>
    </w:lvl>
    <w:lvl w:ilvl="4">
      <w:start w:val="1"/>
      <w:numFmt w:val="upperRoman"/>
      <w:pStyle w:val="Cont-5"/>
      <w:lvlText w:val="(%5)"/>
      <w:lvlJc w:val="left"/>
      <w:pPr>
        <w:ind w:left="288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815B96"/>
    <w:multiLevelType w:val="hybridMultilevel"/>
    <w:tmpl w:val="6DDADC84"/>
    <w:lvl w:ilvl="0" w:tplc="6E1453FE">
      <w:start w:val="1"/>
      <w:numFmt w:val="decimal"/>
      <w:lvlText w:val="%1"/>
      <w:lvlJc w:val="left"/>
      <w:pPr>
        <w:ind w:left="720" w:hanging="360"/>
      </w:pPr>
      <w:rPr>
        <w:rFonts w:hint="eastAsia"/>
        <w:strike w:val="0"/>
        <w:color w:val="000000" w:themeColor="text1"/>
      </w:rPr>
    </w:lvl>
    <w:lvl w:ilvl="1" w:tplc="12361A08">
      <w:start w:val="1"/>
      <w:numFmt w:val="lowerLetter"/>
      <w:lvlText w:val="(%2)"/>
      <w:lvlJc w:val="left"/>
      <w:pPr>
        <w:ind w:left="1440" w:hanging="360"/>
      </w:pPr>
      <w:rPr>
        <w:rFonts w:hint="eastAsia"/>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D0A646E"/>
    <w:multiLevelType w:val="hybridMultilevel"/>
    <w:tmpl w:val="8D3A5730"/>
    <w:lvl w:ilvl="0" w:tplc="E554866E">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697783037">
    <w:abstractNumId w:val="9"/>
  </w:num>
  <w:num w:numId="2" w16cid:durableId="1460338774">
    <w:abstractNumId w:val="7"/>
  </w:num>
  <w:num w:numId="3" w16cid:durableId="196739718">
    <w:abstractNumId w:val="6"/>
  </w:num>
  <w:num w:numId="4" w16cid:durableId="1565876080">
    <w:abstractNumId w:val="5"/>
  </w:num>
  <w:num w:numId="5" w16cid:durableId="728960513">
    <w:abstractNumId w:val="4"/>
  </w:num>
  <w:num w:numId="6" w16cid:durableId="1798376886">
    <w:abstractNumId w:val="8"/>
  </w:num>
  <w:num w:numId="7" w16cid:durableId="568420993">
    <w:abstractNumId w:val="3"/>
  </w:num>
  <w:num w:numId="8" w16cid:durableId="559826195">
    <w:abstractNumId w:val="2"/>
  </w:num>
  <w:num w:numId="9" w16cid:durableId="1569925867">
    <w:abstractNumId w:val="1"/>
  </w:num>
  <w:num w:numId="10" w16cid:durableId="1054698921">
    <w:abstractNumId w:val="0"/>
  </w:num>
  <w:num w:numId="11" w16cid:durableId="1804348395">
    <w:abstractNumId w:val="13"/>
  </w:num>
  <w:num w:numId="12" w16cid:durableId="2138906608">
    <w:abstractNumId w:val="16"/>
  </w:num>
  <w:num w:numId="13" w16cid:durableId="1827891486">
    <w:abstractNumId w:val="12"/>
  </w:num>
  <w:num w:numId="14" w16cid:durableId="865096771">
    <w:abstractNumId w:val="10"/>
  </w:num>
  <w:num w:numId="15" w16cid:durableId="1406149658">
    <w:abstractNumId w:val="11"/>
  </w:num>
  <w:num w:numId="16" w16cid:durableId="363795178">
    <w:abstractNumId w:val="14"/>
  </w:num>
  <w:num w:numId="17" w16cid:durableId="1713460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7100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7839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1270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03"/>
    <w:rsid w:val="00000D4C"/>
    <w:rsid w:val="000010C9"/>
    <w:rsid w:val="00001D90"/>
    <w:rsid w:val="00002C5D"/>
    <w:rsid w:val="00005976"/>
    <w:rsid w:val="00006941"/>
    <w:rsid w:val="000077AC"/>
    <w:rsid w:val="00010566"/>
    <w:rsid w:val="00011756"/>
    <w:rsid w:val="000162FE"/>
    <w:rsid w:val="00016B88"/>
    <w:rsid w:val="00020B75"/>
    <w:rsid w:val="00020BB7"/>
    <w:rsid w:val="0002137A"/>
    <w:rsid w:val="00024ADB"/>
    <w:rsid w:val="00024AFF"/>
    <w:rsid w:val="00024C79"/>
    <w:rsid w:val="0002788E"/>
    <w:rsid w:val="0003149E"/>
    <w:rsid w:val="00032793"/>
    <w:rsid w:val="000349E8"/>
    <w:rsid w:val="00040A6F"/>
    <w:rsid w:val="00041152"/>
    <w:rsid w:val="0004248F"/>
    <w:rsid w:val="00043AB6"/>
    <w:rsid w:val="00046990"/>
    <w:rsid w:val="00055131"/>
    <w:rsid w:val="00061389"/>
    <w:rsid w:val="00066390"/>
    <w:rsid w:val="00070185"/>
    <w:rsid w:val="0007239D"/>
    <w:rsid w:val="00072E06"/>
    <w:rsid w:val="00073CB2"/>
    <w:rsid w:val="00074E2F"/>
    <w:rsid w:val="00075105"/>
    <w:rsid w:val="00077EFF"/>
    <w:rsid w:val="000805F8"/>
    <w:rsid w:val="00080D02"/>
    <w:rsid w:val="00080D7D"/>
    <w:rsid w:val="0008226C"/>
    <w:rsid w:val="000822E5"/>
    <w:rsid w:val="00083F78"/>
    <w:rsid w:val="0008600E"/>
    <w:rsid w:val="000913F6"/>
    <w:rsid w:val="00092739"/>
    <w:rsid w:val="00092D2C"/>
    <w:rsid w:val="00092FE8"/>
    <w:rsid w:val="0009541F"/>
    <w:rsid w:val="00095542"/>
    <w:rsid w:val="000A388C"/>
    <w:rsid w:val="000A4A20"/>
    <w:rsid w:val="000A5567"/>
    <w:rsid w:val="000A7C20"/>
    <w:rsid w:val="000A7D6A"/>
    <w:rsid w:val="000B10CD"/>
    <w:rsid w:val="000B1383"/>
    <w:rsid w:val="000B3BD7"/>
    <w:rsid w:val="000B458B"/>
    <w:rsid w:val="000B4FFA"/>
    <w:rsid w:val="000B5A85"/>
    <w:rsid w:val="000B5B20"/>
    <w:rsid w:val="000C1149"/>
    <w:rsid w:val="000C1C3C"/>
    <w:rsid w:val="000D13EE"/>
    <w:rsid w:val="000D1CFA"/>
    <w:rsid w:val="000D2F1F"/>
    <w:rsid w:val="000D30D8"/>
    <w:rsid w:val="000D5096"/>
    <w:rsid w:val="000E5790"/>
    <w:rsid w:val="000E620E"/>
    <w:rsid w:val="000E6FCE"/>
    <w:rsid w:val="000E77EE"/>
    <w:rsid w:val="000E7DDC"/>
    <w:rsid w:val="000F0E40"/>
    <w:rsid w:val="000F4079"/>
    <w:rsid w:val="000F5745"/>
    <w:rsid w:val="000F6337"/>
    <w:rsid w:val="00101BA0"/>
    <w:rsid w:val="0010539B"/>
    <w:rsid w:val="0010676D"/>
    <w:rsid w:val="001067A5"/>
    <w:rsid w:val="0011352C"/>
    <w:rsid w:val="001148DC"/>
    <w:rsid w:val="00116D35"/>
    <w:rsid w:val="00117729"/>
    <w:rsid w:val="00120D5A"/>
    <w:rsid w:val="001218C0"/>
    <w:rsid w:val="00124013"/>
    <w:rsid w:val="00125F42"/>
    <w:rsid w:val="001267F5"/>
    <w:rsid w:val="0013160C"/>
    <w:rsid w:val="00131BB6"/>
    <w:rsid w:val="0013637D"/>
    <w:rsid w:val="00137012"/>
    <w:rsid w:val="0014059B"/>
    <w:rsid w:val="00143F34"/>
    <w:rsid w:val="001444F6"/>
    <w:rsid w:val="001459EE"/>
    <w:rsid w:val="001460DC"/>
    <w:rsid w:val="00146616"/>
    <w:rsid w:val="00147C76"/>
    <w:rsid w:val="00156F35"/>
    <w:rsid w:val="00160CCE"/>
    <w:rsid w:val="001613B2"/>
    <w:rsid w:val="0016293F"/>
    <w:rsid w:val="00166E85"/>
    <w:rsid w:val="00167F54"/>
    <w:rsid w:val="001701C5"/>
    <w:rsid w:val="0017040C"/>
    <w:rsid w:val="00173046"/>
    <w:rsid w:val="00173F89"/>
    <w:rsid w:val="001746C0"/>
    <w:rsid w:val="00183FD1"/>
    <w:rsid w:val="0018699C"/>
    <w:rsid w:val="00191686"/>
    <w:rsid w:val="00195DF9"/>
    <w:rsid w:val="00197E2D"/>
    <w:rsid w:val="001A04E3"/>
    <w:rsid w:val="001A0809"/>
    <w:rsid w:val="001A15DC"/>
    <w:rsid w:val="001A23AF"/>
    <w:rsid w:val="001A4348"/>
    <w:rsid w:val="001A58E3"/>
    <w:rsid w:val="001A5E67"/>
    <w:rsid w:val="001A604B"/>
    <w:rsid w:val="001A740D"/>
    <w:rsid w:val="001B0226"/>
    <w:rsid w:val="001B0F68"/>
    <w:rsid w:val="001B130E"/>
    <w:rsid w:val="001B6193"/>
    <w:rsid w:val="001B6709"/>
    <w:rsid w:val="001B67AB"/>
    <w:rsid w:val="001C0893"/>
    <w:rsid w:val="001C1889"/>
    <w:rsid w:val="001C5A81"/>
    <w:rsid w:val="001C6377"/>
    <w:rsid w:val="001D202E"/>
    <w:rsid w:val="001D6CB9"/>
    <w:rsid w:val="001E0299"/>
    <w:rsid w:val="001E14CC"/>
    <w:rsid w:val="001E20E3"/>
    <w:rsid w:val="001E4214"/>
    <w:rsid w:val="001E7559"/>
    <w:rsid w:val="001F2C15"/>
    <w:rsid w:val="001F3C03"/>
    <w:rsid w:val="001F5354"/>
    <w:rsid w:val="0020112B"/>
    <w:rsid w:val="00202CB4"/>
    <w:rsid w:val="00203CD8"/>
    <w:rsid w:val="00207F9F"/>
    <w:rsid w:val="0021041B"/>
    <w:rsid w:val="00212686"/>
    <w:rsid w:val="00215FDB"/>
    <w:rsid w:val="002205FB"/>
    <w:rsid w:val="00220E63"/>
    <w:rsid w:val="0022166C"/>
    <w:rsid w:val="00224A62"/>
    <w:rsid w:val="0022593E"/>
    <w:rsid w:val="00233168"/>
    <w:rsid w:val="00236EAF"/>
    <w:rsid w:val="002372DB"/>
    <w:rsid w:val="00237EF8"/>
    <w:rsid w:val="002408B5"/>
    <w:rsid w:val="002411D4"/>
    <w:rsid w:val="002450C9"/>
    <w:rsid w:val="00245295"/>
    <w:rsid w:val="00246B10"/>
    <w:rsid w:val="00246F1B"/>
    <w:rsid w:val="00251502"/>
    <w:rsid w:val="00252F2D"/>
    <w:rsid w:val="00252F3C"/>
    <w:rsid w:val="00254023"/>
    <w:rsid w:val="0025413D"/>
    <w:rsid w:val="00265FC0"/>
    <w:rsid w:val="002703D1"/>
    <w:rsid w:val="00272211"/>
    <w:rsid w:val="00274417"/>
    <w:rsid w:val="00275D04"/>
    <w:rsid w:val="0028089C"/>
    <w:rsid w:val="00281063"/>
    <w:rsid w:val="0028167E"/>
    <w:rsid w:val="0028553F"/>
    <w:rsid w:val="00285886"/>
    <w:rsid w:val="00286936"/>
    <w:rsid w:val="00287AA9"/>
    <w:rsid w:val="00287C73"/>
    <w:rsid w:val="00292E7E"/>
    <w:rsid w:val="00293E83"/>
    <w:rsid w:val="00294B92"/>
    <w:rsid w:val="00294BC9"/>
    <w:rsid w:val="00296874"/>
    <w:rsid w:val="00296D12"/>
    <w:rsid w:val="00296EC6"/>
    <w:rsid w:val="00297D8A"/>
    <w:rsid w:val="002A0B2B"/>
    <w:rsid w:val="002A3B16"/>
    <w:rsid w:val="002A67E0"/>
    <w:rsid w:val="002A6E2F"/>
    <w:rsid w:val="002B12DC"/>
    <w:rsid w:val="002B6107"/>
    <w:rsid w:val="002C19AD"/>
    <w:rsid w:val="002C66C8"/>
    <w:rsid w:val="002D1B33"/>
    <w:rsid w:val="002D5634"/>
    <w:rsid w:val="002E0C8A"/>
    <w:rsid w:val="002E658C"/>
    <w:rsid w:val="002E7F36"/>
    <w:rsid w:val="002E7F85"/>
    <w:rsid w:val="002F369B"/>
    <w:rsid w:val="00300397"/>
    <w:rsid w:val="003024A3"/>
    <w:rsid w:val="00304D27"/>
    <w:rsid w:val="00310E04"/>
    <w:rsid w:val="00311AFD"/>
    <w:rsid w:val="00313CA0"/>
    <w:rsid w:val="00316FE1"/>
    <w:rsid w:val="0032516C"/>
    <w:rsid w:val="00325EFD"/>
    <w:rsid w:val="00327931"/>
    <w:rsid w:val="0033119A"/>
    <w:rsid w:val="00336385"/>
    <w:rsid w:val="00342A5B"/>
    <w:rsid w:val="00344873"/>
    <w:rsid w:val="00346B19"/>
    <w:rsid w:val="00347637"/>
    <w:rsid w:val="00351E6C"/>
    <w:rsid w:val="00355A2B"/>
    <w:rsid w:val="00356291"/>
    <w:rsid w:val="003578E9"/>
    <w:rsid w:val="003636C7"/>
    <w:rsid w:val="00366D1B"/>
    <w:rsid w:val="003675E9"/>
    <w:rsid w:val="003746CD"/>
    <w:rsid w:val="00377AB4"/>
    <w:rsid w:val="00382F5E"/>
    <w:rsid w:val="003841C9"/>
    <w:rsid w:val="003906A8"/>
    <w:rsid w:val="00390F26"/>
    <w:rsid w:val="00394C2F"/>
    <w:rsid w:val="00395CEC"/>
    <w:rsid w:val="003A06A7"/>
    <w:rsid w:val="003A0C1D"/>
    <w:rsid w:val="003A1141"/>
    <w:rsid w:val="003A29D6"/>
    <w:rsid w:val="003A2B79"/>
    <w:rsid w:val="003A3325"/>
    <w:rsid w:val="003A5AE8"/>
    <w:rsid w:val="003B0F01"/>
    <w:rsid w:val="003B7E1A"/>
    <w:rsid w:val="003C04B4"/>
    <w:rsid w:val="003C1522"/>
    <w:rsid w:val="003C2055"/>
    <w:rsid w:val="003C39A6"/>
    <w:rsid w:val="003C4245"/>
    <w:rsid w:val="003C5F48"/>
    <w:rsid w:val="003C61E8"/>
    <w:rsid w:val="003C7538"/>
    <w:rsid w:val="003D2135"/>
    <w:rsid w:val="003D31D8"/>
    <w:rsid w:val="003D539D"/>
    <w:rsid w:val="003D6A6D"/>
    <w:rsid w:val="003D6C85"/>
    <w:rsid w:val="003D723A"/>
    <w:rsid w:val="003E156E"/>
    <w:rsid w:val="003E1A05"/>
    <w:rsid w:val="003E2C41"/>
    <w:rsid w:val="003E55E7"/>
    <w:rsid w:val="003E74F2"/>
    <w:rsid w:val="003E7C96"/>
    <w:rsid w:val="003F0038"/>
    <w:rsid w:val="003F2842"/>
    <w:rsid w:val="003F3C2E"/>
    <w:rsid w:val="003F3FD1"/>
    <w:rsid w:val="003F4CAC"/>
    <w:rsid w:val="003F52C5"/>
    <w:rsid w:val="003F6199"/>
    <w:rsid w:val="00401BE2"/>
    <w:rsid w:val="00402E12"/>
    <w:rsid w:val="00404275"/>
    <w:rsid w:val="00406369"/>
    <w:rsid w:val="00407EE3"/>
    <w:rsid w:val="0041364E"/>
    <w:rsid w:val="00415CC8"/>
    <w:rsid w:val="004170FB"/>
    <w:rsid w:val="00417F31"/>
    <w:rsid w:val="004247B7"/>
    <w:rsid w:val="00426787"/>
    <w:rsid w:val="0043023D"/>
    <w:rsid w:val="004324A5"/>
    <w:rsid w:val="00436335"/>
    <w:rsid w:val="00436863"/>
    <w:rsid w:val="00442A88"/>
    <w:rsid w:val="004446F5"/>
    <w:rsid w:val="00453D11"/>
    <w:rsid w:val="00453F06"/>
    <w:rsid w:val="00455E3F"/>
    <w:rsid w:val="004563BF"/>
    <w:rsid w:val="00460876"/>
    <w:rsid w:val="00461C1E"/>
    <w:rsid w:val="0046361B"/>
    <w:rsid w:val="0046383A"/>
    <w:rsid w:val="00466EF8"/>
    <w:rsid w:val="00467FC3"/>
    <w:rsid w:val="00470A48"/>
    <w:rsid w:val="00471AE0"/>
    <w:rsid w:val="00471C96"/>
    <w:rsid w:val="00472F95"/>
    <w:rsid w:val="00472FC2"/>
    <w:rsid w:val="00476863"/>
    <w:rsid w:val="004838FA"/>
    <w:rsid w:val="00483B53"/>
    <w:rsid w:val="00484125"/>
    <w:rsid w:val="00486AD2"/>
    <w:rsid w:val="00487CC4"/>
    <w:rsid w:val="004904B9"/>
    <w:rsid w:val="00490561"/>
    <w:rsid w:val="00490AFD"/>
    <w:rsid w:val="0049406A"/>
    <w:rsid w:val="00494E27"/>
    <w:rsid w:val="004950F2"/>
    <w:rsid w:val="004A0DC7"/>
    <w:rsid w:val="004A34E0"/>
    <w:rsid w:val="004A60DF"/>
    <w:rsid w:val="004A63FF"/>
    <w:rsid w:val="004A67DA"/>
    <w:rsid w:val="004B08BF"/>
    <w:rsid w:val="004B3BA0"/>
    <w:rsid w:val="004B6288"/>
    <w:rsid w:val="004B65D7"/>
    <w:rsid w:val="004C03C8"/>
    <w:rsid w:val="004C28DB"/>
    <w:rsid w:val="004D2C79"/>
    <w:rsid w:val="004D3DB4"/>
    <w:rsid w:val="004D7511"/>
    <w:rsid w:val="004E1EE4"/>
    <w:rsid w:val="004E21C5"/>
    <w:rsid w:val="004E3DBE"/>
    <w:rsid w:val="004E7FC1"/>
    <w:rsid w:val="004F3E99"/>
    <w:rsid w:val="004F4C1E"/>
    <w:rsid w:val="004F5193"/>
    <w:rsid w:val="004F716C"/>
    <w:rsid w:val="00501870"/>
    <w:rsid w:val="00502E58"/>
    <w:rsid w:val="00504788"/>
    <w:rsid w:val="005047C3"/>
    <w:rsid w:val="00504C18"/>
    <w:rsid w:val="005066F4"/>
    <w:rsid w:val="0051109C"/>
    <w:rsid w:val="00514F4B"/>
    <w:rsid w:val="0052131E"/>
    <w:rsid w:val="00523666"/>
    <w:rsid w:val="00523C88"/>
    <w:rsid w:val="00525AFF"/>
    <w:rsid w:val="005270DA"/>
    <w:rsid w:val="00530FA8"/>
    <w:rsid w:val="00532243"/>
    <w:rsid w:val="00533BC8"/>
    <w:rsid w:val="00534861"/>
    <w:rsid w:val="00536F0A"/>
    <w:rsid w:val="00537568"/>
    <w:rsid w:val="005407BB"/>
    <w:rsid w:val="00545277"/>
    <w:rsid w:val="00545548"/>
    <w:rsid w:val="005501B4"/>
    <w:rsid w:val="00551FE0"/>
    <w:rsid w:val="005532C5"/>
    <w:rsid w:val="005536A8"/>
    <w:rsid w:val="00556A57"/>
    <w:rsid w:val="0056354A"/>
    <w:rsid w:val="00565016"/>
    <w:rsid w:val="00567A24"/>
    <w:rsid w:val="005703F8"/>
    <w:rsid w:val="00571414"/>
    <w:rsid w:val="00572F0A"/>
    <w:rsid w:val="00573598"/>
    <w:rsid w:val="0057504D"/>
    <w:rsid w:val="00577A99"/>
    <w:rsid w:val="00577D15"/>
    <w:rsid w:val="005817A9"/>
    <w:rsid w:val="00581BCE"/>
    <w:rsid w:val="00582A2F"/>
    <w:rsid w:val="00586B60"/>
    <w:rsid w:val="00587623"/>
    <w:rsid w:val="005876E0"/>
    <w:rsid w:val="00593547"/>
    <w:rsid w:val="00594333"/>
    <w:rsid w:val="00597E28"/>
    <w:rsid w:val="005A07A4"/>
    <w:rsid w:val="005A2627"/>
    <w:rsid w:val="005A2F24"/>
    <w:rsid w:val="005A570A"/>
    <w:rsid w:val="005A5E83"/>
    <w:rsid w:val="005B02E1"/>
    <w:rsid w:val="005B0727"/>
    <w:rsid w:val="005B4C61"/>
    <w:rsid w:val="005C1301"/>
    <w:rsid w:val="005C1AA8"/>
    <w:rsid w:val="005C36E8"/>
    <w:rsid w:val="005C3C80"/>
    <w:rsid w:val="005C4A50"/>
    <w:rsid w:val="005C4CEE"/>
    <w:rsid w:val="005C5AA2"/>
    <w:rsid w:val="005D3C30"/>
    <w:rsid w:val="005D6B30"/>
    <w:rsid w:val="005E0016"/>
    <w:rsid w:val="005E35D1"/>
    <w:rsid w:val="005E36D7"/>
    <w:rsid w:val="005E440F"/>
    <w:rsid w:val="005E4A70"/>
    <w:rsid w:val="005E4AD7"/>
    <w:rsid w:val="005F51F9"/>
    <w:rsid w:val="00602E72"/>
    <w:rsid w:val="006056A8"/>
    <w:rsid w:val="00605D88"/>
    <w:rsid w:val="0062091A"/>
    <w:rsid w:val="00620EFE"/>
    <w:rsid w:val="00621891"/>
    <w:rsid w:val="00624B35"/>
    <w:rsid w:val="0062528E"/>
    <w:rsid w:val="006258B0"/>
    <w:rsid w:val="00625FA7"/>
    <w:rsid w:val="0062781F"/>
    <w:rsid w:val="00627B79"/>
    <w:rsid w:val="006310C9"/>
    <w:rsid w:val="00631E41"/>
    <w:rsid w:val="006324B3"/>
    <w:rsid w:val="00634BEF"/>
    <w:rsid w:val="00634D98"/>
    <w:rsid w:val="00635725"/>
    <w:rsid w:val="00642762"/>
    <w:rsid w:val="00644434"/>
    <w:rsid w:val="006469CD"/>
    <w:rsid w:val="006505BF"/>
    <w:rsid w:val="006510C8"/>
    <w:rsid w:val="00652F05"/>
    <w:rsid w:val="00653FE8"/>
    <w:rsid w:val="00654A24"/>
    <w:rsid w:val="006572FD"/>
    <w:rsid w:val="006617A1"/>
    <w:rsid w:val="006621C0"/>
    <w:rsid w:val="006627A9"/>
    <w:rsid w:val="0066554E"/>
    <w:rsid w:val="00666C4C"/>
    <w:rsid w:val="00671FB7"/>
    <w:rsid w:val="00673656"/>
    <w:rsid w:val="00673EB7"/>
    <w:rsid w:val="00674664"/>
    <w:rsid w:val="006746AE"/>
    <w:rsid w:val="00675051"/>
    <w:rsid w:val="00675B43"/>
    <w:rsid w:val="00676B2F"/>
    <w:rsid w:val="00677B24"/>
    <w:rsid w:val="006817F2"/>
    <w:rsid w:val="00681EEE"/>
    <w:rsid w:val="0068228E"/>
    <w:rsid w:val="0068365D"/>
    <w:rsid w:val="00683976"/>
    <w:rsid w:val="006849A1"/>
    <w:rsid w:val="006871C2"/>
    <w:rsid w:val="0069439D"/>
    <w:rsid w:val="00697F66"/>
    <w:rsid w:val="006B1DC2"/>
    <w:rsid w:val="006B2926"/>
    <w:rsid w:val="006B493C"/>
    <w:rsid w:val="006C01D8"/>
    <w:rsid w:val="006C0CFA"/>
    <w:rsid w:val="006C32B3"/>
    <w:rsid w:val="006C52AF"/>
    <w:rsid w:val="006C7F9A"/>
    <w:rsid w:val="006D3C25"/>
    <w:rsid w:val="006D6093"/>
    <w:rsid w:val="006E1AE8"/>
    <w:rsid w:val="006E25A2"/>
    <w:rsid w:val="006E3C89"/>
    <w:rsid w:val="006E3E71"/>
    <w:rsid w:val="006E4CEC"/>
    <w:rsid w:val="006F2362"/>
    <w:rsid w:val="006F2505"/>
    <w:rsid w:val="006F31C9"/>
    <w:rsid w:val="006F5275"/>
    <w:rsid w:val="006F54DD"/>
    <w:rsid w:val="006F5E4A"/>
    <w:rsid w:val="006F65A0"/>
    <w:rsid w:val="00701799"/>
    <w:rsid w:val="007033AE"/>
    <w:rsid w:val="0070363F"/>
    <w:rsid w:val="007078C9"/>
    <w:rsid w:val="0071086D"/>
    <w:rsid w:val="00713636"/>
    <w:rsid w:val="0071516F"/>
    <w:rsid w:val="00715FEB"/>
    <w:rsid w:val="0071730E"/>
    <w:rsid w:val="007215C8"/>
    <w:rsid w:val="0072701C"/>
    <w:rsid w:val="00727975"/>
    <w:rsid w:val="007300C0"/>
    <w:rsid w:val="00732689"/>
    <w:rsid w:val="00743631"/>
    <w:rsid w:val="0074650F"/>
    <w:rsid w:val="0075017E"/>
    <w:rsid w:val="007512A0"/>
    <w:rsid w:val="00751586"/>
    <w:rsid w:val="0075404E"/>
    <w:rsid w:val="007544C5"/>
    <w:rsid w:val="00754C57"/>
    <w:rsid w:val="007553FD"/>
    <w:rsid w:val="007563D2"/>
    <w:rsid w:val="007563F5"/>
    <w:rsid w:val="007630E6"/>
    <w:rsid w:val="00763723"/>
    <w:rsid w:val="00763916"/>
    <w:rsid w:val="00763F7C"/>
    <w:rsid w:val="00766365"/>
    <w:rsid w:val="00766FC9"/>
    <w:rsid w:val="00770F8D"/>
    <w:rsid w:val="00771A2D"/>
    <w:rsid w:val="00772868"/>
    <w:rsid w:val="007762E6"/>
    <w:rsid w:val="00776359"/>
    <w:rsid w:val="00777555"/>
    <w:rsid w:val="00780DE1"/>
    <w:rsid w:val="00782120"/>
    <w:rsid w:val="007849A6"/>
    <w:rsid w:val="00786291"/>
    <w:rsid w:val="007901E1"/>
    <w:rsid w:val="00791C98"/>
    <w:rsid w:val="00791FEA"/>
    <w:rsid w:val="0079488C"/>
    <w:rsid w:val="007959E8"/>
    <w:rsid w:val="007A04AF"/>
    <w:rsid w:val="007A7051"/>
    <w:rsid w:val="007A71EA"/>
    <w:rsid w:val="007A78BF"/>
    <w:rsid w:val="007B25B2"/>
    <w:rsid w:val="007B4281"/>
    <w:rsid w:val="007B6349"/>
    <w:rsid w:val="007C09A7"/>
    <w:rsid w:val="007C22E0"/>
    <w:rsid w:val="007C2738"/>
    <w:rsid w:val="007C3A3F"/>
    <w:rsid w:val="007C41A9"/>
    <w:rsid w:val="007C5122"/>
    <w:rsid w:val="007C60D1"/>
    <w:rsid w:val="007C6859"/>
    <w:rsid w:val="007C6954"/>
    <w:rsid w:val="007C7A6B"/>
    <w:rsid w:val="007D0605"/>
    <w:rsid w:val="007D06A1"/>
    <w:rsid w:val="007D4E7A"/>
    <w:rsid w:val="007E16C4"/>
    <w:rsid w:val="007E1B5F"/>
    <w:rsid w:val="007E4A25"/>
    <w:rsid w:val="007E5C4D"/>
    <w:rsid w:val="007F43E8"/>
    <w:rsid w:val="007F5935"/>
    <w:rsid w:val="007F7340"/>
    <w:rsid w:val="007F765F"/>
    <w:rsid w:val="00802AB1"/>
    <w:rsid w:val="00805BFC"/>
    <w:rsid w:val="00812516"/>
    <w:rsid w:val="00812EA7"/>
    <w:rsid w:val="008146D3"/>
    <w:rsid w:val="00814D6F"/>
    <w:rsid w:val="00824838"/>
    <w:rsid w:val="0082503A"/>
    <w:rsid w:val="00831841"/>
    <w:rsid w:val="00833408"/>
    <w:rsid w:val="00834C52"/>
    <w:rsid w:val="008356C3"/>
    <w:rsid w:val="008376D5"/>
    <w:rsid w:val="00841104"/>
    <w:rsid w:val="0084134E"/>
    <w:rsid w:val="00841904"/>
    <w:rsid w:val="00841C58"/>
    <w:rsid w:val="00845E03"/>
    <w:rsid w:val="00846844"/>
    <w:rsid w:val="00850B8E"/>
    <w:rsid w:val="00851583"/>
    <w:rsid w:val="00851CD4"/>
    <w:rsid w:val="00852E2D"/>
    <w:rsid w:val="008530DE"/>
    <w:rsid w:val="0085323D"/>
    <w:rsid w:val="00856DF6"/>
    <w:rsid w:val="00857BBC"/>
    <w:rsid w:val="0086049E"/>
    <w:rsid w:val="00860D61"/>
    <w:rsid w:val="00862627"/>
    <w:rsid w:val="008678F3"/>
    <w:rsid w:val="00874F29"/>
    <w:rsid w:val="008753D9"/>
    <w:rsid w:val="008760CF"/>
    <w:rsid w:val="008766C8"/>
    <w:rsid w:val="00877231"/>
    <w:rsid w:val="00881D5A"/>
    <w:rsid w:val="00882E19"/>
    <w:rsid w:val="00883D7B"/>
    <w:rsid w:val="00883E31"/>
    <w:rsid w:val="008843A7"/>
    <w:rsid w:val="00885214"/>
    <w:rsid w:val="00891316"/>
    <w:rsid w:val="00895AB3"/>
    <w:rsid w:val="0089789A"/>
    <w:rsid w:val="008A13AB"/>
    <w:rsid w:val="008A1451"/>
    <w:rsid w:val="008A3F6C"/>
    <w:rsid w:val="008A4B11"/>
    <w:rsid w:val="008A5FDA"/>
    <w:rsid w:val="008A6539"/>
    <w:rsid w:val="008A748C"/>
    <w:rsid w:val="008B0774"/>
    <w:rsid w:val="008B1AE5"/>
    <w:rsid w:val="008B3E57"/>
    <w:rsid w:val="008B4298"/>
    <w:rsid w:val="008B4342"/>
    <w:rsid w:val="008B4E3E"/>
    <w:rsid w:val="008B67E9"/>
    <w:rsid w:val="008C513A"/>
    <w:rsid w:val="008D0598"/>
    <w:rsid w:val="008D08D4"/>
    <w:rsid w:val="008D14EA"/>
    <w:rsid w:val="008D1A63"/>
    <w:rsid w:val="008D2BA1"/>
    <w:rsid w:val="008D69F3"/>
    <w:rsid w:val="008E284D"/>
    <w:rsid w:val="008E6C36"/>
    <w:rsid w:val="008F38D9"/>
    <w:rsid w:val="008F4B97"/>
    <w:rsid w:val="008F7F46"/>
    <w:rsid w:val="00900E1B"/>
    <w:rsid w:val="00900EA4"/>
    <w:rsid w:val="009017B2"/>
    <w:rsid w:val="00903D99"/>
    <w:rsid w:val="00904F30"/>
    <w:rsid w:val="009062AF"/>
    <w:rsid w:val="009069E9"/>
    <w:rsid w:val="009146CB"/>
    <w:rsid w:val="0091584C"/>
    <w:rsid w:val="009163EB"/>
    <w:rsid w:val="00916839"/>
    <w:rsid w:val="0091699C"/>
    <w:rsid w:val="0091751A"/>
    <w:rsid w:val="0092033E"/>
    <w:rsid w:val="00923553"/>
    <w:rsid w:val="00923932"/>
    <w:rsid w:val="009270B9"/>
    <w:rsid w:val="00927DC8"/>
    <w:rsid w:val="00930075"/>
    <w:rsid w:val="00932A15"/>
    <w:rsid w:val="00933618"/>
    <w:rsid w:val="009356F7"/>
    <w:rsid w:val="00935D4B"/>
    <w:rsid w:val="00936C6F"/>
    <w:rsid w:val="0094340D"/>
    <w:rsid w:val="00944035"/>
    <w:rsid w:val="00956381"/>
    <w:rsid w:val="009568CC"/>
    <w:rsid w:val="0096356B"/>
    <w:rsid w:val="00965AFB"/>
    <w:rsid w:val="0096629F"/>
    <w:rsid w:val="009679E8"/>
    <w:rsid w:val="00967A89"/>
    <w:rsid w:val="00967FC3"/>
    <w:rsid w:val="00970621"/>
    <w:rsid w:val="00974DC0"/>
    <w:rsid w:val="009756C0"/>
    <w:rsid w:val="00975B6A"/>
    <w:rsid w:val="0098319E"/>
    <w:rsid w:val="00985222"/>
    <w:rsid w:val="009857AD"/>
    <w:rsid w:val="00991367"/>
    <w:rsid w:val="00991815"/>
    <w:rsid w:val="00991F20"/>
    <w:rsid w:val="00992D03"/>
    <w:rsid w:val="00997352"/>
    <w:rsid w:val="0099777E"/>
    <w:rsid w:val="009A2817"/>
    <w:rsid w:val="009A35C9"/>
    <w:rsid w:val="009A3928"/>
    <w:rsid w:val="009A44A4"/>
    <w:rsid w:val="009A702E"/>
    <w:rsid w:val="009A73C8"/>
    <w:rsid w:val="009B3740"/>
    <w:rsid w:val="009C55C8"/>
    <w:rsid w:val="009C595C"/>
    <w:rsid w:val="009D0CE5"/>
    <w:rsid w:val="009D1F2F"/>
    <w:rsid w:val="009D27CA"/>
    <w:rsid w:val="009D31E3"/>
    <w:rsid w:val="009D5C4A"/>
    <w:rsid w:val="009D69D5"/>
    <w:rsid w:val="009E0811"/>
    <w:rsid w:val="009E2CB0"/>
    <w:rsid w:val="009E2F3F"/>
    <w:rsid w:val="009E32B8"/>
    <w:rsid w:val="009E3EF1"/>
    <w:rsid w:val="009E5D80"/>
    <w:rsid w:val="009F15A1"/>
    <w:rsid w:val="009F3A1D"/>
    <w:rsid w:val="009F540F"/>
    <w:rsid w:val="009F7C20"/>
    <w:rsid w:val="00A044E1"/>
    <w:rsid w:val="00A04CFF"/>
    <w:rsid w:val="00A0530F"/>
    <w:rsid w:val="00A06D60"/>
    <w:rsid w:val="00A07144"/>
    <w:rsid w:val="00A07D91"/>
    <w:rsid w:val="00A1291E"/>
    <w:rsid w:val="00A13040"/>
    <w:rsid w:val="00A144D3"/>
    <w:rsid w:val="00A21D0B"/>
    <w:rsid w:val="00A22E0C"/>
    <w:rsid w:val="00A30D11"/>
    <w:rsid w:val="00A32F69"/>
    <w:rsid w:val="00A355D0"/>
    <w:rsid w:val="00A35803"/>
    <w:rsid w:val="00A4168C"/>
    <w:rsid w:val="00A46794"/>
    <w:rsid w:val="00A4726A"/>
    <w:rsid w:val="00A51818"/>
    <w:rsid w:val="00A51BCF"/>
    <w:rsid w:val="00A556DC"/>
    <w:rsid w:val="00A56E96"/>
    <w:rsid w:val="00A57D20"/>
    <w:rsid w:val="00A60A9F"/>
    <w:rsid w:val="00A66A2E"/>
    <w:rsid w:val="00A7084B"/>
    <w:rsid w:val="00A716E5"/>
    <w:rsid w:val="00A727B0"/>
    <w:rsid w:val="00A7336C"/>
    <w:rsid w:val="00A75461"/>
    <w:rsid w:val="00A7576D"/>
    <w:rsid w:val="00A75C10"/>
    <w:rsid w:val="00A7700F"/>
    <w:rsid w:val="00A776E6"/>
    <w:rsid w:val="00A81A0B"/>
    <w:rsid w:val="00A8396F"/>
    <w:rsid w:val="00A84CA5"/>
    <w:rsid w:val="00A85A26"/>
    <w:rsid w:val="00A86363"/>
    <w:rsid w:val="00A86472"/>
    <w:rsid w:val="00A90099"/>
    <w:rsid w:val="00A91824"/>
    <w:rsid w:val="00A94676"/>
    <w:rsid w:val="00A9718E"/>
    <w:rsid w:val="00AA129A"/>
    <w:rsid w:val="00AA3574"/>
    <w:rsid w:val="00AA443F"/>
    <w:rsid w:val="00AA647A"/>
    <w:rsid w:val="00AA67CB"/>
    <w:rsid w:val="00AA7650"/>
    <w:rsid w:val="00AB0337"/>
    <w:rsid w:val="00AB0C15"/>
    <w:rsid w:val="00AB31D5"/>
    <w:rsid w:val="00AB3AA9"/>
    <w:rsid w:val="00AB4D62"/>
    <w:rsid w:val="00AB6299"/>
    <w:rsid w:val="00AB6679"/>
    <w:rsid w:val="00AC324E"/>
    <w:rsid w:val="00AC6C56"/>
    <w:rsid w:val="00AC70C2"/>
    <w:rsid w:val="00AD08AE"/>
    <w:rsid w:val="00AE010F"/>
    <w:rsid w:val="00AE024E"/>
    <w:rsid w:val="00AE234A"/>
    <w:rsid w:val="00AF09CF"/>
    <w:rsid w:val="00AF10A1"/>
    <w:rsid w:val="00AF2069"/>
    <w:rsid w:val="00AF4808"/>
    <w:rsid w:val="00B01333"/>
    <w:rsid w:val="00B0534A"/>
    <w:rsid w:val="00B06039"/>
    <w:rsid w:val="00B06DD0"/>
    <w:rsid w:val="00B07BEE"/>
    <w:rsid w:val="00B128D4"/>
    <w:rsid w:val="00B21245"/>
    <w:rsid w:val="00B25795"/>
    <w:rsid w:val="00B32746"/>
    <w:rsid w:val="00B360A2"/>
    <w:rsid w:val="00B4110A"/>
    <w:rsid w:val="00B41B5B"/>
    <w:rsid w:val="00B46D43"/>
    <w:rsid w:val="00B507F4"/>
    <w:rsid w:val="00B5090B"/>
    <w:rsid w:val="00B5161C"/>
    <w:rsid w:val="00B53805"/>
    <w:rsid w:val="00B61797"/>
    <w:rsid w:val="00B62A35"/>
    <w:rsid w:val="00B636AA"/>
    <w:rsid w:val="00B63ADB"/>
    <w:rsid w:val="00B677FD"/>
    <w:rsid w:val="00B72A02"/>
    <w:rsid w:val="00B750AC"/>
    <w:rsid w:val="00B77CBB"/>
    <w:rsid w:val="00B811A2"/>
    <w:rsid w:val="00B8299E"/>
    <w:rsid w:val="00B82F4B"/>
    <w:rsid w:val="00B84DAB"/>
    <w:rsid w:val="00B87F44"/>
    <w:rsid w:val="00B942F2"/>
    <w:rsid w:val="00B943BA"/>
    <w:rsid w:val="00B94CB5"/>
    <w:rsid w:val="00B950A0"/>
    <w:rsid w:val="00B96B93"/>
    <w:rsid w:val="00BA2530"/>
    <w:rsid w:val="00BB070B"/>
    <w:rsid w:val="00BB4F89"/>
    <w:rsid w:val="00BB4FC7"/>
    <w:rsid w:val="00BB7F54"/>
    <w:rsid w:val="00BC38DE"/>
    <w:rsid w:val="00BC3EFE"/>
    <w:rsid w:val="00BC442A"/>
    <w:rsid w:val="00BC5DB1"/>
    <w:rsid w:val="00BC604B"/>
    <w:rsid w:val="00BD027C"/>
    <w:rsid w:val="00BD3130"/>
    <w:rsid w:val="00BD62B8"/>
    <w:rsid w:val="00BE0A21"/>
    <w:rsid w:val="00BE21A2"/>
    <w:rsid w:val="00BE59B7"/>
    <w:rsid w:val="00BE7CCC"/>
    <w:rsid w:val="00BF1D3C"/>
    <w:rsid w:val="00BF2DF7"/>
    <w:rsid w:val="00BF3045"/>
    <w:rsid w:val="00BF3B97"/>
    <w:rsid w:val="00BF3DD0"/>
    <w:rsid w:val="00BF53C2"/>
    <w:rsid w:val="00BF6AB4"/>
    <w:rsid w:val="00C00D2B"/>
    <w:rsid w:val="00C0149E"/>
    <w:rsid w:val="00C021DB"/>
    <w:rsid w:val="00C02DBE"/>
    <w:rsid w:val="00C02FF9"/>
    <w:rsid w:val="00C0340F"/>
    <w:rsid w:val="00C052E1"/>
    <w:rsid w:val="00C06418"/>
    <w:rsid w:val="00C0678D"/>
    <w:rsid w:val="00C06D9B"/>
    <w:rsid w:val="00C06F1F"/>
    <w:rsid w:val="00C0761B"/>
    <w:rsid w:val="00C11134"/>
    <w:rsid w:val="00C152C0"/>
    <w:rsid w:val="00C177F2"/>
    <w:rsid w:val="00C23133"/>
    <w:rsid w:val="00C23711"/>
    <w:rsid w:val="00C23997"/>
    <w:rsid w:val="00C25D4E"/>
    <w:rsid w:val="00C2694E"/>
    <w:rsid w:val="00C26A6F"/>
    <w:rsid w:val="00C31056"/>
    <w:rsid w:val="00C31548"/>
    <w:rsid w:val="00C338AB"/>
    <w:rsid w:val="00C35A87"/>
    <w:rsid w:val="00C36281"/>
    <w:rsid w:val="00C37319"/>
    <w:rsid w:val="00C4148A"/>
    <w:rsid w:val="00C43ABB"/>
    <w:rsid w:val="00C466AD"/>
    <w:rsid w:val="00C51669"/>
    <w:rsid w:val="00C51F3E"/>
    <w:rsid w:val="00C53493"/>
    <w:rsid w:val="00C53664"/>
    <w:rsid w:val="00C53D9E"/>
    <w:rsid w:val="00C542EA"/>
    <w:rsid w:val="00C54A06"/>
    <w:rsid w:val="00C55166"/>
    <w:rsid w:val="00C56FCB"/>
    <w:rsid w:val="00C57B21"/>
    <w:rsid w:val="00C61C67"/>
    <w:rsid w:val="00C627EA"/>
    <w:rsid w:val="00C72A27"/>
    <w:rsid w:val="00C72EA1"/>
    <w:rsid w:val="00C7403D"/>
    <w:rsid w:val="00C77FDC"/>
    <w:rsid w:val="00C83283"/>
    <w:rsid w:val="00C83E2F"/>
    <w:rsid w:val="00C84791"/>
    <w:rsid w:val="00C877E8"/>
    <w:rsid w:val="00C93BBD"/>
    <w:rsid w:val="00CA16CE"/>
    <w:rsid w:val="00CA185E"/>
    <w:rsid w:val="00CA2DD0"/>
    <w:rsid w:val="00CA3EAE"/>
    <w:rsid w:val="00CA4802"/>
    <w:rsid w:val="00CA4BDC"/>
    <w:rsid w:val="00CA4EB6"/>
    <w:rsid w:val="00CA5707"/>
    <w:rsid w:val="00CB01AC"/>
    <w:rsid w:val="00CB1748"/>
    <w:rsid w:val="00CB35FD"/>
    <w:rsid w:val="00CB575C"/>
    <w:rsid w:val="00CC504C"/>
    <w:rsid w:val="00CD0487"/>
    <w:rsid w:val="00CD1740"/>
    <w:rsid w:val="00CD1A4C"/>
    <w:rsid w:val="00CD2F58"/>
    <w:rsid w:val="00CD33A9"/>
    <w:rsid w:val="00CD4DB6"/>
    <w:rsid w:val="00CD5E1B"/>
    <w:rsid w:val="00CD6105"/>
    <w:rsid w:val="00CD6237"/>
    <w:rsid w:val="00CE12A1"/>
    <w:rsid w:val="00CE4E89"/>
    <w:rsid w:val="00CF349F"/>
    <w:rsid w:val="00CF390C"/>
    <w:rsid w:val="00CF4D0D"/>
    <w:rsid w:val="00CF54CB"/>
    <w:rsid w:val="00CF5BE8"/>
    <w:rsid w:val="00D04008"/>
    <w:rsid w:val="00D04296"/>
    <w:rsid w:val="00D10A73"/>
    <w:rsid w:val="00D11363"/>
    <w:rsid w:val="00D11A11"/>
    <w:rsid w:val="00D1346F"/>
    <w:rsid w:val="00D24462"/>
    <w:rsid w:val="00D2457C"/>
    <w:rsid w:val="00D30024"/>
    <w:rsid w:val="00D358C0"/>
    <w:rsid w:val="00D3630A"/>
    <w:rsid w:val="00D37C0F"/>
    <w:rsid w:val="00D40307"/>
    <w:rsid w:val="00D418CF"/>
    <w:rsid w:val="00D43BFB"/>
    <w:rsid w:val="00D44F6A"/>
    <w:rsid w:val="00D45F04"/>
    <w:rsid w:val="00D4641A"/>
    <w:rsid w:val="00D5055B"/>
    <w:rsid w:val="00D51492"/>
    <w:rsid w:val="00D627CF"/>
    <w:rsid w:val="00D634AE"/>
    <w:rsid w:val="00D64361"/>
    <w:rsid w:val="00D647B0"/>
    <w:rsid w:val="00D669B7"/>
    <w:rsid w:val="00D72FE2"/>
    <w:rsid w:val="00D77ABF"/>
    <w:rsid w:val="00D8135D"/>
    <w:rsid w:val="00D818B1"/>
    <w:rsid w:val="00D824AD"/>
    <w:rsid w:val="00D824F8"/>
    <w:rsid w:val="00D9657C"/>
    <w:rsid w:val="00D97859"/>
    <w:rsid w:val="00DA168B"/>
    <w:rsid w:val="00DA2CD6"/>
    <w:rsid w:val="00DA3CD7"/>
    <w:rsid w:val="00DA3D09"/>
    <w:rsid w:val="00DA4007"/>
    <w:rsid w:val="00DA4780"/>
    <w:rsid w:val="00DA71F3"/>
    <w:rsid w:val="00DA7EE1"/>
    <w:rsid w:val="00DB3B14"/>
    <w:rsid w:val="00DB7BFA"/>
    <w:rsid w:val="00DC3231"/>
    <w:rsid w:val="00DC4567"/>
    <w:rsid w:val="00DC6DF3"/>
    <w:rsid w:val="00DC6EA8"/>
    <w:rsid w:val="00DD0EF6"/>
    <w:rsid w:val="00DD20B3"/>
    <w:rsid w:val="00DD430C"/>
    <w:rsid w:val="00DD5897"/>
    <w:rsid w:val="00DE13B6"/>
    <w:rsid w:val="00DE1961"/>
    <w:rsid w:val="00DE4E78"/>
    <w:rsid w:val="00DE5D4A"/>
    <w:rsid w:val="00DE6245"/>
    <w:rsid w:val="00DE62A7"/>
    <w:rsid w:val="00DE64A4"/>
    <w:rsid w:val="00DF0727"/>
    <w:rsid w:val="00DF1C54"/>
    <w:rsid w:val="00DF278C"/>
    <w:rsid w:val="00DF43B7"/>
    <w:rsid w:val="00DF4A08"/>
    <w:rsid w:val="00DF5286"/>
    <w:rsid w:val="00DF5ACE"/>
    <w:rsid w:val="00E0048F"/>
    <w:rsid w:val="00E01DA2"/>
    <w:rsid w:val="00E04CB7"/>
    <w:rsid w:val="00E071A7"/>
    <w:rsid w:val="00E07766"/>
    <w:rsid w:val="00E11D4B"/>
    <w:rsid w:val="00E130F3"/>
    <w:rsid w:val="00E15262"/>
    <w:rsid w:val="00E215A8"/>
    <w:rsid w:val="00E2467F"/>
    <w:rsid w:val="00E24799"/>
    <w:rsid w:val="00E34406"/>
    <w:rsid w:val="00E34577"/>
    <w:rsid w:val="00E412E9"/>
    <w:rsid w:val="00E4523D"/>
    <w:rsid w:val="00E454B4"/>
    <w:rsid w:val="00E471C1"/>
    <w:rsid w:val="00E47691"/>
    <w:rsid w:val="00E477D5"/>
    <w:rsid w:val="00E5025B"/>
    <w:rsid w:val="00E51449"/>
    <w:rsid w:val="00E56455"/>
    <w:rsid w:val="00E6255F"/>
    <w:rsid w:val="00E67883"/>
    <w:rsid w:val="00E67FBF"/>
    <w:rsid w:val="00E705A2"/>
    <w:rsid w:val="00E70BDE"/>
    <w:rsid w:val="00E713ED"/>
    <w:rsid w:val="00E73758"/>
    <w:rsid w:val="00E73A06"/>
    <w:rsid w:val="00E77C2D"/>
    <w:rsid w:val="00E821CD"/>
    <w:rsid w:val="00E83C28"/>
    <w:rsid w:val="00E85C42"/>
    <w:rsid w:val="00E957D3"/>
    <w:rsid w:val="00EA4122"/>
    <w:rsid w:val="00EA5A2A"/>
    <w:rsid w:val="00EA6CA7"/>
    <w:rsid w:val="00EA6FEC"/>
    <w:rsid w:val="00EB23A5"/>
    <w:rsid w:val="00ED0F5A"/>
    <w:rsid w:val="00ED43E0"/>
    <w:rsid w:val="00ED4893"/>
    <w:rsid w:val="00ED5780"/>
    <w:rsid w:val="00ED79A2"/>
    <w:rsid w:val="00ED7C51"/>
    <w:rsid w:val="00EE0A7A"/>
    <w:rsid w:val="00EE3581"/>
    <w:rsid w:val="00EE431A"/>
    <w:rsid w:val="00EE5FB0"/>
    <w:rsid w:val="00EE6490"/>
    <w:rsid w:val="00EE72D9"/>
    <w:rsid w:val="00EF07BF"/>
    <w:rsid w:val="00EF1C5D"/>
    <w:rsid w:val="00EF45EB"/>
    <w:rsid w:val="00EF72E4"/>
    <w:rsid w:val="00EF7BF2"/>
    <w:rsid w:val="00F0145C"/>
    <w:rsid w:val="00F015B8"/>
    <w:rsid w:val="00F0271F"/>
    <w:rsid w:val="00F046CE"/>
    <w:rsid w:val="00F07F12"/>
    <w:rsid w:val="00F07FE3"/>
    <w:rsid w:val="00F1128D"/>
    <w:rsid w:val="00F13DC2"/>
    <w:rsid w:val="00F15A32"/>
    <w:rsid w:val="00F15DBF"/>
    <w:rsid w:val="00F17164"/>
    <w:rsid w:val="00F172D4"/>
    <w:rsid w:val="00F20A70"/>
    <w:rsid w:val="00F2203A"/>
    <w:rsid w:val="00F225FB"/>
    <w:rsid w:val="00F22A67"/>
    <w:rsid w:val="00F239A5"/>
    <w:rsid w:val="00F260FF"/>
    <w:rsid w:val="00F26910"/>
    <w:rsid w:val="00F27311"/>
    <w:rsid w:val="00F27D02"/>
    <w:rsid w:val="00F32B7C"/>
    <w:rsid w:val="00F448E5"/>
    <w:rsid w:val="00F466E2"/>
    <w:rsid w:val="00F54B1A"/>
    <w:rsid w:val="00F54CAA"/>
    <w:rsid w:val="00F5659F"/>
    <w:rsid w:val="00F565F5"/>
    <w:rsid w:val="00F611E8"/>
    <w:rsid w:val="00F669A8"/>
    <w:rsid w:val="00F679CB"/>
    <w:rsid w:val="00F67A1A"/>
    <w:rsid w:val="00F7378D"/>
    <w:rsid w:val="00F81CAA"/>
    <w:rsid w:val="00F84A9A"/>
    <w:rsid w:val="00F864EC"/>
    <w:rsid w:val="00F91AE8"/>
    <w:rsid w:val="00F93DE3"/>
    <w:rsid w:val="00FA0154"/>
    <w:rsid w:val="00FA0A13"/>
    <w:rsid w:val="00FA3561"/>
    <w:rsid w:val="00FA3D3B"/>
    <w:rsid w:val="00FA4961"/>
    <w:rsid w:val="00FA6841"/>
    <w:rsid w:val="00FA74BE"/>
    <w:rsid w:val="00FB04E2"/>
    <w:rsid w:val="00FB095D"/>
    <w:rsid w:val="00FB6693"/>
    <w:rsid w:val="00FB69BB"/>
    <w:rsid w:val="00FC1208"/>
    <w:rsid w:val="00FC5675"/>
    <w:rsid w:val="00FC5676"/>
    <w:rsid w:val="00FC7EF0"/>
    <w:rsid w:val="00FD057A"/>
    <w:rsid w:val="00FD121F"/>
    <w:rsid w:val="00FD1FA3"/>
    <w:rsid w:val="00FD2159"/>
    <w:rsid w:val="00FE0705"/>
    <w:rsid w:val="00FE2883"/>
    <w:rsid w:val="00FE2F85"/>
    <w:rsid w:val="00FE35B3"/>
    <w:rsid w:val="00FE4989"/>
    <w:rsid w:val="00FE5933"/>
    <w:rsid w:val="00FE7E5A"/>
    <w:rsid w:val="00FE7EA9"/>
    <w:rsid w:val="00FF3153"/>
    <w:rsid w:val="00FF70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9701E"/>
  <w15:docId w15:val="{0A07A7AF-6C94-4F6A-8D73-1DDE15C1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901E1"/>
    <w:rPr>
      <w:sz w:val="24"/>
      <w:lang w:val="en-GB" w:eastAsia="en-US"/>
    </w:rPr>
  </w:style>
  <w:style w:type="paragraph" w:styleId="Heading1">
    <w:name w:val="heading 1"/>
    <w:basedOn w:val="Normal"/>
    <w:next w:val="Normal"/>
    <w:rsid w:val="00F27311"/>
    <w:pPr>
      <w:keepNext/>
      <w:pBdr>
        <w:top w:val="single" w:sz="4" w:space="18" w:color="auto"/>
        <w:bottom w:val="single" w:sz="4" w:space="18" w:color="auto"/>
      </w:pBdr>
      <w:spacing w:before="600" w:after="600"/>
      <w:jc w:val="center"/>
      <w:outlineLvl w:val="0"/>
    </w:pPr>
    <w:rPr>
      <w:b/>
      <w:caps/>
      <w:kern w:val="32"/>
      <w:sz w:val="32"/>
      <w:szCs w:val="32"/>
      <w:lang w:val="en-US"/>
    </w:rPr>
  </w:style>
  <w:style w:type="paragraph" w:styleId="Heading2">
    <w:name w:val="heading 2"/>
    <w:basedOn w:val="Normal"/>
    <w:next w:val="Normal"/>
    <w:rsid w:val="007901E1"/>
    <w:pPr>
      <w:keepNext/>
      <w:spacing w:before="240" w:after="60"/>
      <w:outlineLvl w:val="1"/>
    </w:pPr>
    <w:rPr>
      <w:rFonts w:ascii="Arial" w:hAnsi="Arial" w:cs="Arial"/>
      <w:b/>
      <w:bCs/>
      <w:i/>
      <w:iCs/>
      <w:sz w:val="28"/>
      <w:szCs w:val="28"/>
    </w:rPr>
  </w:style>
  <w:style w:type="paragraph" w:styleId="Heading3">
    <w:name w:val="heading 3"/>
    <w:basedOn w:val="Normal"/>
    <w:next w:val="Normal"/>
    <w:rsid w:val="007901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A29D6"/>
    <w:pPr>
      <w:keepNext/>
      <w:spacing w:before="320"/>
    </w:pPr>
    <w:rPr>
      <w:b/>
    </w:rPr>
  </w:style>
  <w:style w:type="paragraph" w:customStyle="1" w:styleId="Catchwords">
    <w:name w:val="Catchwords"/>
    <w:basedOn w:val="Normal"/>
    <w:rsid w:val="004A67DA"/>
    <w:rPr>
      <w:sz w:val="28"/>
      <w:szCs w:val="28"/>
      <w:lang w:val="en-US"/>
    </w:rPr>
  </w:style>
  <w:style w:type="paragraph" w:customStyle="1" w:styleId="Hdg-5">
    <w:name w:val="Hdg-5"/>
    <w:basedOn w:val="Normal"/>
    <w:next w:val="Cont-1"/>
    <w:qFormat/>
    <w:rsid w:val="00DE6245"/>
    <w:pPr>
      <w:keepNext/>
      <w:spacing w:before="320"/>
      <w:ind w:left="720" w:hanging="720"/>
      <w:outlineLvl w:val="4"/>
    </w:pPr>
    <w:rPr>
      <w:smallCaps/>
      <w:sz w:val="22"/>
      <w:szCs w:val="22"/>
    </w:rPr>
  </w:style>
  <w:style w:type="paragraph" w:customStyle="1" w:styleId="Hdg-4">
    <w:name w:val="Hdg-4"/>
    <w:basedOn w:val="Normal"/>
    <w:next w:val="Cont-1"/>
    <w:qFormat/>
    <w:rsid w:val="00DE6245"/>
    <w:pPr>
      <w:keepNext/>
      <w:spacing w:before="320"/>
      <w:ind w:left="720" w:hanging="720"/>
      <w:outlineLvl w:val="3"/>
    </w:pPr>
    <w:rPr>
      <w:szCs w:val="24"/>
    </w:rPr>
  </w:style>
  <w:style w:type="paragraph" w:customStyle="1" w:styleId="Table-hdg">
    <w:name w:val="Table-hdg"/>
    <w:basedOn w:val="Normal"/>
    <w:rsid w:val="00701799"/>
    <w:pPr>
      <w:keepNext/>
      <w:keepLines/>
      <w:spacing w:before="120" w:after="120"/>
      <w:jc w:val="center"/>
    </w:pPr>
    <w:rPr>
      <w:b/>
    </w:rPr>
  </w:style>
  <w:style w:type="paragraph" w:customStyle="1" w:styleId="Table-text">
    <w:name w:val="Table-text"/>
    <w:basedOn w:val="Normal"/>
    <w:rsid w:val="005536A8"/>
    <w:pPr>
      <w:keepLines/>
      <w:spacing w:before="120" w:after="120"/>
    </w:pPr>
    <w:rPr>
      <w:snapToGrid w:val="0"/>
    </w:rPr>
  </w:style>
  <w:style w:type="paragraph" w:customStyle="1" w:styleId="Date-rsvd">
    <w:name w:val="Date-rsvd"/>
    <w:basedOn w:val="Normal"/>
    <w:rsid w:val="003A29D6"/>
    <w:pPr>
      <w:tabs>
        <w:tab w:val="right" w:pos="7560"/>
      </w:tabs>
      <w:spacing w:before="320"/>
    </w:pPr>
  </w:style>
  <w:style w:type="paragraph" w:customStyle="1" w:styleId="Hdg-3">
    <w:name w:val="Hdg-3"/>
    <w:basedOn w:val="Normal"/>
    <w:next w:val="Cont-1"/>
    <w:qFormat/>
    <w:rsid w:val="00DE6245"/>
    <w:pPr>
      <w:keepNext/>
      <w:spacing w:before="320"/>
      <w:outlineLvl w:val="2"/>
    </w:pPr>
    <w:rPr>
      <w:i/>
      <w:szCs w:val="24"/>
    </w:rPr>
  </w:style>
  <w:style w:type="paragraph" w:customStyle="1" w:styleId="Runningheads">
    <w:name w:val="Running heads"/>
    <w:basedOn w:val="Normal"/>
    <w:rsid w:val="003D31D8"/>
    <w:pPr>
      <w:tabs>
        <w:tab w:val="right" w:pos="7546"/>
      </w:tabs>
    </w:pPr>
    <w:rPr>
      <w:i/>
      <w:sz w:val="22"/>
    </w:rPr>
  </w:style>
  <w:style w:type="paragraph" w:customStyle="1" w:styleId="Judg-EOF">
    <w:name w:val="Judg-EOF"/>
    <w:basedOn w:val="Normal"/>
    <w:rsid w:val="007901E1"/>
    <w:pPr>
      <w:pBdr>
        <w:bottom w:val="single" w:sz="4" w:space="1" w:color="auto"/>
      </w:pBdr>
      <w:spacing w:before="240" w:after="120"/>
      <w:ind w:left="1985" w:right="1985"/>
      <w:jc w:val="center"/>
    </w:pPr>
  </w:style>
  <w:style w:type="paragraph" w:customStyle="1" w:styleId="Casenumber">
    <w:name w:val="Case number"/>
    <w:basedOn w:val="Normal"/>
    <w:rsid w:val="00010566"/>
    <w:pPr>
      <w:spacing w:after="600"/>
    </w:pPr>
  </w:style>
  <w:style w:type="paragraph" w:customStyle="1" w:styleId="Cont-4">
    <w:name w:val="Cont-4"/>
    <w:basedOn w:val="Normal"/>
    <w:qFormat/>
    <w:rsid w:val="00C466AD"/>
    <w:pPr>
      <w:numPr>
        <w:ilvl w:val="3"/>
        <w:numId w:val="16"/>
      </w:numPr>
      <w:snapToGrid w:val="0"/>
      <w:spacing w:before="100" w:line="360" w:lineRule="auto"/>
      <w:jc w:val="both"/>
    </w:pPr>
  </w:style>
  <w:style w:type="paragraph" w:customStyle="1" w:styleId="Casename">
    <w:name w:val="Casename"/>
    <w:basedOn w:val="Normal"/>
    <w:rsid w:val="00C152C0"/>
    <w:pPr>
      <w:keepNext/>
      <w:keepLines/>
      <w:suppressAutoHyphens/>
      <w:spacing w:before="600" w:after="360"/>
      <w:jc w:val="center"/>
    </w:pPr>
    <w:rPr>
      <w:b/>
      <w:kern w:val="22"/>
      <w:sz w:val="28"/>
      <w:szCs w:val="22"/>
    </w:rPr>
  </w:style>
  <w:style w:type="paragraph" w:customStyle="1" w:styleId="Notice">
    <w:name w:val="Notice"/>
    <w:basedOn w:val="Normal"/>
    <w:rsid w:val="003D31D8"/>
    <w:pPr>
      <w:keepNext/>
      <w:keepLines/>
      <w:suppressAutoHyphens/>
      <w:spacing w:before="120" w:after="120"/>
      <w:jc w:val="center"/>
    </w:pPr>
    <w:rPr>
      <w:b/>
      <w:kern w:val="22"/>
      <w:szCs w:val="22"/>
      <w:lang w:val="en-US"/>
    </w:rPr>
  </w:style>
  <w:style w:type="paragraph" w:customStyle="1" w:styleId="Table-fig">
    <w:name w:val="Table-fig"/>
    <w:basedOn w:val="Normal"/>
    <w:rsid w:val="00CA2DD0"/>
    <w:pPr>
      <w:keepLines/>
      <w:spacing w:before="120" w:after="120"/>
      <w:ind w:right="142"/>
      <w:jc w:val="right"/>
    </w:pPr>
  </w:style>
  <w:style w:type="paragraph" w:customStyle="1" w:styleId="Cont-1">
    <w:name w:val="Cont-1"/>
    <w:basedOn w:val="Normal"/>
    <w:qFormat/>
    <w:rsid w:val="004A67DA"/>
    <w:pPr>
      <w:numPr>
        <w:numId w:val="16"/>
      </w:numPr>
      <w:spacing w:before="320" w:line="360" w:lineRule="auto"/>
      <w:jc w:val="both"/>
    </w:pPr>
  </w:style>
  <w:style w:type="table" w:styleId="TableGrid">
    <w:name w:val="Table Grid"/>
    <w:basedOn w:val="TableNormal"/>
    <w:rsid w:val="004D2C79"/>
    <w:tblP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1E1"/>
  </w:style>
  <w:style w:type="paragraph" w:customStyle="1" w:styleId="Quote-table-hdg">
    <w:name w:val="Quote-table-hdg"/>
    <w:basedOn w:val="Normal"/>
    <w:rsid w:val="003B0F01"/>
    <w:pPr>
      <w:keepNext/>
      <w:keepLines/>
      <w:spacing w:before="120" w:after="120"/>
      <w:jc w:val="center"/>
    </w:pPr>
    <w:rPr>
      <w:rFonts w:ascii="Bookman Old Style" w:hAnsi="Bookman Old Style"/>
      <w:b/>
      <w:sz w:val="20"/>
    </w:rPr>
  </w:style>
  <w:style w:type="paragraph" w:customStyle="1" w:styleId="Coram">
    <w:name w:val="Coram"/>
    <w:basedOn w:val="Normal"/>
    <w:rsid w:val="00850B8E"/>
    <w:pPr>
      <w:keepNext/>
      <w:keepLines/>
      <w:suppressAutoHyphens/>
      <w:spacing w:before="240" w:after="240"/>
    </w:pPr>
    <w:rPr>
      <w:snapToGrid w:val="0"/>
    </w:rPr>
  </w:style>
  <w:style w:type="table" w:customStyle="1" w:styleId="TableNoGrid">
    <w:name w:val="Table No Grid"/>
    <w:basedOn w:val="TableGrid"/>
    <w:rsid w:val="00573598"/>
    <w:tblPr/>
  </w:style>
  <w:style w:type="paragraph" w:styleId="FootnoteText">
    <w:name w:val="footnote text"/>
    <w:basedOn w:val="Normal"/>
    <w:link w:val="FootnoteTextChar"/>
    <w:uiPriority w:val="99"/>
    <w:rsid w:val="00CB1748"/>
    <w:pPr>
      <w:spacing w:after="120" w:line="240" w:lineRule="atLeast"/>
      <w:ind w:left="720" w:hanging="720"/>
      <w:jc w:val="both"/>
    </w:pPr>
    <w:rPr>
      <w:sz w:val="20"/>
    </w:rPr>
  </w:style>
  <w:style w:type="paragraph" w:customStyle="1" w:styleId="Quote-table-text">
    <w:name w:val="Quote-table-text"/>
    <w:basedOn w:val="Normal"/>
    <w:rsid w:val="003B0F01"/>
    <w:pPr>
      <w:keepLines/>
      <w:spacing w:before="120" w:after="120"/>
    </w:pPr>
    <w:rPr>
      <w:rFonts w:ascii="Bookman Old Style" w:hAnsi="Bookman Old Style"/>
      <w:sz w:val="20"/>
    </w:rPr>
  </w:style>
  <w:style w:type="character" w:styleId="FootnoteReference">
    <w:name w:val="footnote reference"/>
    <w:basedOn w:val="DefaultParagraphFont"/>
    <w:uiPriority w:val="99"/>
    <w:semiHidden/>
    <w:rsid w:val="007901E1"/>
    <w:rPr>
      <w:sz w:val="20"/>
      <w:vertAlign w:val="superscript"/>
    </w:rPr>
  </w:style>
  <w:style w:type="paragraph" w:styleId="Title">
    <w:name w:val="Title"/>
    <w:basedOn w:val="Normal"/>
    <w:rsid w:val="00874F29"/>
    <w:pPr>
      <w:spacing w:after="600"/>
      <w:jc w:val="center"/>
    </w:pPr>
    <w:rPr>
      <w:b/>
      <w:caps/>
      <w:kern w:val="24"/>
      <w:sz w:val="22"/>
      <w:lang w:val="en-US"/>
    </w:rPr>
  </w:style>
  <w:style w:type="paragraph" w:customStyle="1" w:styleId="NeutralCit">
    <w:name w:val="NeutralCit"/>
    <w:basedOn w:val="Normal"/>
    <w:rsid w:val="00850B8E"/>
    <w:pPr>
      <w:spacing w:before="240" w:after="240"/>
      <w:jc w:val="center"/>
    </w:pPr>
    <w:rPr>
      <w:b/>
    </w:rPr>
  </w:style>
  <w:style w:type="paragraph" w:customStyle="1" w:styleId="Quote-table-fig">
    <w:name w:val="Quote-table-fig"/>
    <w:basedOn w:val="Normal"/>
    <w:rsid w:val="003B0F01"/>
    <w:pPr>
      <w:keepLines/>
      <w:spacing w:before="120" w:after="120"/>
      <w:ind w:right="144"/>
      <w:jc w:val="right"/>
    </w:pPr>
    <w:rPr>
      <w:rFonts w:ascii="Bookman Old Style" w:hAnsi="Bookman Old Style"/>
      <w:sz w:val="20"/>
    </w:rPr>
  </w:style>
  <w:style w:type="paragraph" w:customStyle="1" w:styleId="Judg-sign">
    <w:name w:val="Judg-sign"/>
    <w:basedOn w:val="Normal"/>
    <w:rsid w:val="005047C3"/>
    <w:pPr>
      <w:keepLines/>
      <w:spacing w:before="1800"/>
    </w:pPr>
    <w:rPr>
      <w:szCs w:val="24"/>
    </w:rPr>
  </w:style>
  <w:style w:type="paragraph" w:customStyle="1" w:styleId="Cont-2">
    <w:name w:val="Cont-2"/>
    <w:basedOn w:val="Normal"/>
    <w:qFormat/>
    <w:rsid w:val="004A67DA"/>
    <w:pPr>
      <w:numPr>
        <w:ilvl w:val="1"/>
        <w:numId w:val="16"/>
      </w:numPr>
      <w:spacing w:before="240" w:line="360" w:lineRule="auto"/>
      <w:jc w:val="both"/>
    </w:pPr>
    <w:rPr>
      <w:snapToGrid w:val="0"/>
    </w:rPr>
  </w:style>
  <w:style w:type="paragraph" w:customStyle="1" w:styleId="Cont-3">
    <w:name w:val="Cont-3"/>
    <w:basedOn w:val="Normal"/>
    <w:qFormat/>
    <w:rsid w:val="004A67DA"/>
    <w:pPr>
      <w:numPr>
        <w:ilvl w:val="2"/>
        <w:numId w:val="16"/>
      </w:numPr>
      <w:spacing w:before="160" w:line="360" w:lineRule="auto"/>
      <w:jc w:val="both"/>
    </w:pPr>
    <w:rPr>
      <w:snapToGrid w:val="0"/>
    </w:rPr>
  </w:style>
  <w:style w:type="paragraph" w:customStyle="1" w:styleId="Hdg-1">
    <w:name w:val="Hdg-1"/>
    <w:basedOn w:val="Normal"/>
    <w:next w:val="Cont-1"/>
    <w:qFormat/>
    <w:rsid w:val="00DE6245"/>
    <w:pPr>
      <w:keepNext/>
      <w:spacing w:before="320"/>
      <w:outlineLvl w:val="0"/>
    </w:pPr>
    <w:rPr>
      <w:b/>
    </w:rPr>
  </w:style>
  <w:style w:type="paragraph" w:customStyle="1" w:styleId="Hdg-2">
    <w:name w:val="Hdg-2"/>
    <w:basedOn w:val="Normal"/>
    <w:next w:val="Cont-1"/>
    <w:qFormat/>
    <w:rsid w:val="00DE6245"/>
    <w:pPr>
      <w:keepNext/>
      <w:spacing w:before="320"/>
      <w:outlineLvl w:val="1"/>
    </w:pPr>
    <w:rPr>
      <w:b/>
      <w:i/>
    </w:rPr>
  </w:style>
  <w:style w:type="paragraph" w:customStyle="1" w:styleId="List-1">
    <w:name w:val="List-1"/>
    <w:basedOn w:val="Cont-2"/>
    <w:qFormat/>
    <w:rsid w:val="00124013"/>
    <w:pPr>
      <w:spacing w:before="160"/>
      <w:ind w:left="1440" w:hanging="720"/>
    </w:pPr>
  </w:style>
  <w:style w:type="paragraph" w:customStyle="1" w:styleId="List-2">
    <w:name w:val="List-2"/>
    <w:basedOn w:val="Cont-3"/>
    <w:qFormat/>
    <w:rsid w:val="00124013"/>
    <w:pPr>
      <w:ind w:left="2160" w:hanging="720"/>
    </w:pPr>
  </w:style>
  <w:style w:type="paragraph" w:customStyle="1" w:styleId="Quote-1-hdg">
    <w:name w:val="Quote-1-hdg"/>
    <w:basedOn w:val="Normal"/>
    <w:qFormat/>
    <w:rsid w:val="00D4641A"/>
    <w:pPr>
      <w:keepNext/>
      <w:spacing w:before="240"/>
      <w:ind w:left="720" w:right="720"/>
      <w:jc w:val="both"/>
    </w:pPr>
    <w:rPr>
      <w:rFonts w:ascii="Bookman Old Style" w:hAnsi="Bookman Old Style"/>
      <w:bCs/>
      <w:sz w:val="20"/>
    </w:rPr>
  </w:style>
  <w:style w:type="paragraph" w:customStyle="1" w:styleId="Quote-1">
    <w:name w:val="Quote-1"/>
    <w:basedOn w:val="Normal"/>
    <w:qFormat/>
    <w:rsid w:val="00D4641A"/>
    <w:pPr>
      <w:spacing w:before="160"/>
      <w:ind w:left="720" w:right="720"/>
      <w:jc w:val="both"/>
    </w:pPr>
    <w:rPr>
      <w:rFonts w:ascii="Bookman Old Style" w:hAnsi="Bookman Old Style"/>
      <w:bCs/>
      <w:sz w:val="20"/>
    </w:rPr>
  </w:style>
  <w:style w:type="paragraph" w:customStyle="1" w:styleId="Quote-2-hdg">
    <w:name w:val="Quote-2-hdg"/>
    <w:basedOn w:val="Normal"/>
    <w:qFormat/>
    <w:rsid w:val="00D4641A"/>
    <w:pPr>
      <w:keepNext/>
      <w:spacing w:before="240"/>
      <w:ind w:left="1440" w:right="720"/>
      <w:jc w:val="both"/>
    </w:pPr>
    <w:rPr>
      <w:rFonts w:ascii="Bookman Old Style" w:hAnsi="Bookman Old Style"/>
      <w:bCs/>
      <w:sz w:val="20"/>
    </w:rPr>
  </w:style>
  <w:style w:type="paragraph" w:customStyle="1" w:styleId="Quote-2">
    <w:name w:val="Quote-2"/>
    <w:basedOn w:val="Normal"/>
    <w:qFormat/>
    <w:rsid w:val="00D4641A"/>
    <w:pPr>
      <w:spacing w:before="160"/>
      <w:ind w:left="1440" w:right="720"/>
      <w:jc w:val="both"/>
    </w:pPr>
    <w:rPr>
      <w:rFonts w:ascii="Bookman Old Style" w:hAnsi="Bookman Old Style"/>
      <w:bCs/>
      <w:sz w:val="20"/>
    </w:rPr>
  </w:style>
  <w:style w:type="paragraph" w:customStyle="1" w:styleId="Quote-3">
    <w:name w:val="Quote-3"/>
    <w:basedOn w:val="Normal"/>
    <w:qFormat/>
    <w:rsid w:val="00D4641A"/>
    <w:pPr>
      <w:spacing w:before="160"/>
      <w:ind w:left="2160" w:right="720"/>
      <w:jc w:val="both"/>
    </w:pPr>
    <w:rPr>
      <w:rFonts w:ascii="Bookman Old Style" w:hAnsi="Bookman Old Style"/>
      <w:bCs/>
      <w:sz w:val="20"/>
    </w:rPr>
  </w:style>
  <w:style w:type="paragraph" w:customStyle="1" w:styleId="Quote-list">
    <w:name w:val="Quote-list"/>
    <w:basedOn w:val="Normal"/>
    <w:rsid w:val="00D4641A"/>
    <w:pPr>
      <w:spacing w:before="160"/>
      <w:ind w:left="1440" w:right="720" w:hanging="720"/>
      <w:jc w:val="both"/>
    </w:pPr>
    <w:rPr>
      <w:rFonts w:ascii="Bookman Old Style" w:hAnsi="Bookman Old Style"/>
      <w:bCs/>
      <w:sz w:val="20"/>
    </w:rPr>
  </w:style>
  <w:style w:type="paragraph" w:customStyle="1" w:styleId="Quote-list-2">
    <w:name w:val="Quote-list-2"/>
    <w:basedOn w:val="Normal"/>
    <w:rsid w:val="00D4641A"/>
    <w:pPr>
      <w:spacing w:before="160"/>
      <w:ind w:left="2160" w:right="720" w:hanging="720"/>
      <w:jc w:val="both"/>
    </w:pPr>
    <w:rPr>
      <w:rFonts w:ascii="Bookman Old Style" w:hAnsi="Bookman Old Style"/>
      <w:bCs/>
      <w:sz w:val="20"/>
    </w:rPr>
  </w:style>
  <w:style w:type="paragraph" w:customStyle="1" w:styleId="Lawyers">
    <w:name w:val="Lawyers"/>
    <w:basedOn w:val="Normal"/>
    <w:rsid w:val="00CA2DD0"/>
    <w:pPr>
      <w:keepNext/>
      <w:spacing w:before="480"/>
      <w:ind w:left="1440"/>
      <w:jc w:val="right"/>
    </w:pPr>
    <w:rPr>
      <w:sz w:val="22"/>
    </w:rPr>
  </w:style>
  <w:style w:type="paragraph" w:styleId="Header">
    <w:name w:val="header"/>
    <w:basedOn w:val="Normal"/>
    <w:link w:val="HeaderChar"/>
    <w:rsid w:val="00CA2DD0"/>
    <w:pPr>
      <w:tabs>
        <w:tab w:val="center" w:pos="4153"/>
        <w:tab w:val="right" w:pos="8306"/>
      </w:tabs>
    </w:pPr>
  </w:style>
  <w:style w:type="paragraph" w:styleId="Footer">
    <w:name w:val="footer"/>
    <w:basedOn w:val="Normal"/>
    <w:link w:val="FooterChar"/>
    <w:uiPriority w:val="99"/>
    <w:rsid w:val="00CA2DD0"/>
    <w:pPr>
      <w:tabs>
        <w:tab w:val="center" w:pos="4153"/>
        <w:tab w:val="right" w:pos="8306"/>
      </w:tabs>
    </w:pPr>
  </w:style>
  <w:style w:type="paragraph" w:customStyle="1" w:styleId="Cont-5">
    <w:name w:val="Cont-5"/>
    <w:basedOn w:val="Normal"/>
    <w:qFormat/>
    <w:rsid w:val="00C466AD"/>
    <w:pPr>
      <w:numPr>
        <w:ilvl w:val="4"/>
        <w:numId w:val="16"/>
      </w:numPr>
      <w:snapToGrid w:val="0"/>
      <w:spacing w:line="360" w:lineRule="auto"/>
      <w:jc w:val="both"/>
    </w:pPr>
  </w:style>
  <w:style w:type="paragraph" w:customStyle="1" w:styleId="Hdg-6">
    <w:name w:val="Hdg-6"/>
    <w:basedOn w:val="Normal"/>
    <w:next w:val="Cont-1"/>
    <w:qFormat/>
    <w:rsid w:val="00DE6245"/>
    <w:pPr>
      <w:keepNext/>
      <w:spacing w:before="320"/>
      <w:ind w:left="720" w:hanging="720"/>
      <w:outlineLvl w:val="5"/>
    </w:pPr>
    <w:rPr>
      <w:i/>
      <w:smallCaps/>
      <w:sz w:val="22"/>
      <w:szCs w:val="24"/>
    </w:rPr>
  </w:style>
  <w:style w:type="paragraph" w:customStyle="1" w:styleId="Quote-4">
    <w:name w:val="Quote-4"/>
    <w:basedOn w:val="Normal"/>
    <w:qFormat/>
    <w:rsid w:val="00D4641A"/>
    <w:pPr>
      <w:spacing w:before="160"/>
      <w:ind w:left="2880" w:right="720"/>
      <w:jc w:val="both"/>
    </w:pPr>
    <w:rPr>
      <w:rFonts w:ascii="Bookman Old Style" w:hAnsi="Bookman Old Style"/>
      <w:sz w:val="20"/>
    </w:rPr>
  </w:style>
  <w:style w:type="paragraph" w:customStyle="1" w:styleId="Quote-4-hdg">
    <w:name w:val="Quote-4-hdg"/>
    <w:basedOn w:val="Normal"/>
    <w:qFormat/>
    <w:rsid w:val="00D4641A"/>
    <w:pPr>
      <w:keepNext/>
      <w:spacing w:before="200"/>
      <w:ind w:left="2880" w:right="720"/>
      <w:jc w:val="both"/>
    </w:pPr>
    <w:rPr>
      <w:rFonts w:ascii="Bookman Old Style" w:hAnsi="Bookman Old Style"/>
      <w:sz w:val="20"/>
    </w:rPr>
  </w:style>
  <w:style w:type="paragraph" w:customStyle="1" w:styleId="Quote-3-hdg">
    <w:name w:val="Quote-3-hdg"/>
    <w:basedOn w:val="Normal"/>
    <w:qFormat/>
    <w:rsid w:val="00D4641A"/>
    <w:pPr>
      <w:keepNext/>
      <w:spacing w:before="200"/>
      <w:ind w:left="2160" w:right="720"/>
      <w:jc w:val="both"/>
    </w:pPr>
    <w:rPr>
      <w:rFonts w:ascii="Bookman Old Style" w:hAnsi="Bookman Old Style"/>
      <w:sz w:val="20"/>
    </w:rPr>
  </w:style>
  <w:style w:type="paragraph" w:customStyle="1" w:styleId="Quote-list-3">
    <w:name w:val="Quote-list-3"/>
    <w:basedOn w:val="Normal"/>
    <w:rsid w:val="00D4641A"/>
    <w:pPr>
      <w:spacing w:before="160"/>
      <w:ind w:left="2880" w:right="720" w:hanging="720"/>
      <w:jc w:val="both"/>
    </w:pPr>
    <w:rPr>
      <w:rFonts w:ascii="Bookman Old Style" w:hAnsi="Bookman Old Style"/>
      <w:sz w:val="20"/>
    </w:rPr>
  </w:style>
  <w:style w:type="paragraph" w:customStyle="1" w:styleId="List-3">
    <w:name w:val="List-3"/>
    <w:basedOn w:val="Cont-4"/>
    <w:qFormat/>
    <w:rsid w:val="00B636AA"/>
    <w:pPr>
      <w:spacing w:before="160"/>
      <w:ind w:left="2880" w:hanging="720"/>
    </w:pPr>
  </w:style>
  <w:style w:type="paragraph" w:customStyle="1" w:styleId="Cvr-parties">
    <w:name w:val="Cvr-parties"/>
    <w:basedOn w:val="Normal"/>
    <w:rsid w:val="00904F30"/>
  </w:style>
  <w:style w:type="paragraph" w:styleId="TOCHeading">
    <w:name w:val="TOC Heading"/>
    <w:basedOn w:val="Heading1"/>
    <w:next w:val="Normal"/>
    <w:uiPriority w:val="39"/>
    <w:unhideWhenUsed/>
    <w:qFormat/>
    <w:rsid w:val="003F3FD1"/>
    <w:pPr>
      <w:keepLines/>
      <w:pBdr>
        <w:top w:val="none" w:sz="0" w:space="0" w:color="auto"/>
        <w:bottom w:val="single" w:sz="4" w:space="1" w:color="auto"/>
      </w:pBdr>
      <w:spacing w:before="480" w:after="0" w:line="276" w:lineRule="auto"/>
      <w:outlineLvl w:val="9"/>
    </w:pPr>
    <w:rPr>
      <w:rFonts w:eastAsiaTheme="majorEastAsia"/>
      <w:bCs/>
      <w:color w:val="000000" w:themeColor="text1"/>
      <w:kern w:val="0"/>
      <w:sz w:val="24"/>
      <w:szCs w:val="24"/>
    </w:rPr>
  </w:style>
  <w:style w:type="paragraph" w:styleId="BalloonText">
    <w:name w:val="Balloon Text"/>
    <w:basedOn w:val="Normal"/>
    <w:link w:val="BalloonTextChar"/>
    <w:rsid w:val="003F3FD1"/>
    <w:rPr>
      <w:rFonts w:ascii="Tahoma" w:hAnsi="Tahoma" w:cs="Tahoma"/>
      <w:sz w:val="16"/>
      <w:szCs w:val="16"/>
    </w:rPr>
  </w:style>
  <w:style w:type="character" w:customStyle="1" w:styleId="BalloonTextChar">
    <w:name w:val="Balloon Text Char"/>
    <w:basedOn w:val="DefaultParagraphFont"/>
    <w:link w:val="BalloonText"/>
    <w:rsid w:val="003F3FD1"/>
    <w:rPr>
      <w:rFonts w:ascii="Tahoma" w:hAnsi="Tahoma" w:cs="Tahoma"/>
      <w:sz w:val="16"/>
      <w:szCs w:val="16"/>
      <w:lang w:val="en-GB" w:eastAsia="en-US"/>
    </w:rPr>
  </w:style>
  <w:style w:type="paragraph" w:styleId="TOC1">
    <w:name w:val="toc 1"/>
    <w:basedOn w:val="Normal"/>
    <w:next w:val="Normal"/>
    <w:autoRedefine/>
    <w:uiPriority w:val="39"/>
    <w:rsid w:val="00A86472"/>
    <w:pPr>
      <w:spacing w:before="320" w:after="120"/>
      <w:jc w:val="both"/>
    </w:pPr>
    <w:rPr>
      <w:b/>
      <w:bCs/>
      <w:caps/>
    </w:rPr>
  </w:style>
  <w:style w:type="character" w:styleId="Hyperlink">
    <w:name w:val="Hyperlink"/>
    <w:basedOn w:val="DefaultParagraphFont"/>
    <w:uiPriority w:val="99"/>
    <w:unhideWhenUsed/>
    <w:rsid w:val="00B360A2"/>
    <w:rPr>
      <w:color w:val="0000FF"/>
      <w:u w:val="single"/>
    </w:rPr>
  </w:style>
  <w:style w:type="paragraph" w:styleId="TOC2">
    <w:name w:val="toc 2"/>
    <w:basedOn w:val="Normal"/>
    <w:next w:val="Normal"/>
    <w:autoRedefine/>
    <w:uiPriority w:val="39"/>
    <w:rsid w:val="00A776E6"/>
    <w:pPr>
      <w:spacing w:before="200" w:after="200"/>
      <w:ind w:left="238"/>
      <w:jc w:val="both"/>
    </w:pPr>
    <w:rPr>
      <w:smallCaps/>
    </w:rPr>
  </w:style>
  <w:style w:type="paragraph" w:styleId="TOC3">
    <w:name w:val="toc 3"/>
    <w:basedOn w:val="Normal"/>
    <w:next w:val="Normal"/>
    <w:autoRedefine/>
    <w:uiPriority w:val="39"/>
    <w:rsid w:val="00A776E6"/>
    <w:pPr>
      <w:spacing w:before="160" w:after="160"/>
      <w:ind w:left="482"/>
      <w:jc w:val="both"/>
    </w:pPr>
    <w:rPr>
      <w:i/>
      <w:iCs/>
    </w:rPr>
  </w:style>
  <w:style w:type="paragraph" w:styleId="TOC4">
    <w:name w:val="toc 4"/>
    <w:basedOn w:val="Normal"/>
    <w:next w:val="Normal"/>
    <w:autoRedefine/>
    <w:uiPriority w:val="39"/>
    <w:rsid w:val="003F3FD1"/>
    <w:pPr>
      <w:tabs>
        <w:tab w:val="left" w:pos="1320"/>
        <w:tab w:val="right" w:leader="dot" w:pos="7579"/>
      </w:tabs>
      <w:spacing w:before="120" w:after="120"/>
      <w:ind w:left="1264" w:hanging="544"/>
      <w:jc w:val="both"/>
    </w:pPr>
  </w:style>
  <w:style w:type="paragraph" w:styleId="TOC5">
    <w:name w:val="toc 5"/>
    <w:basedOn w:val="Normal"/>
    <w:next w:val="Normal"/>
    <w:autoRedefine/>
    <w:uiPriority w:val="39"/>
    <w:rsid w:val="003F3FD1"/>
    <w:pPr>
      <w:tabs>
        <w:tab w:val="left" w:pos="1540"/>
        <w:tab w:val="right" w:leader="dot" w:pos="7579"/>
      </w:tabs>
      <w:spacing w:before="80" w:after="80"/>
      <w:ind w:left="1865" w:hanging="544"/>
      <w:jc w:val="both"/>
    </w:pPr>
    <w:rPr>
      <w:i/>
    </w:rPr>
  </w:style>
  <w:style w:type="paragraph" w:styleId="TOC6">
    <w:name w:val="toc 6"/>
    <w:basedOn w:val="Normal"/>
    <w:next w:val="Normal"/>
    <w:autoRedefine/>
    <w:uiPriority w:val="39"/>
    <w:rsid w:val="003F3FD1"/>
    <w:pPr>
      <w:tabs>
        <w:tab w:val="left" w:pos="1760"/>
        <w:tab w:val="right" w:leader="dot" w:pos="7579"/>
      </w:tabs>
      <w:spacing w:before="40" w:after="40"/>
      <w:ind w:left="2409" w:hanging="544"/>
      <w:jc w:val="both"/>
    </w:pPr>
  </w:style>
  <w:style w:type="paragraph" w:styleId="DocumentMap">
    <w:name w:val="Document Map"/>
    <w:basedOn w:val="Normal"/>
    <w:link w:val="DocumentMapChar"/>
    <w:rsid w:val="0041364E"/>
    <w:rPr>
      <w:rFonts w:ascii="Tahoma" w:hAnsi="Tahoma" w:cs="Tahoma"/>
      <w:sz w:val="16"/>
      <w:szCs w:val="16"/>
    </w:rPr>
  </w:style>
  <w:style w:type="character" w:customStyle="1" w:styleId="DocumentMapChar">
    <w:name w:val="Document Map Char"/>
    <w:basedOn w:val="DefaultParagraphFont"/>
    <w:link w:val="DocumentMap"/>
    <w:rsid w:val="0041364E"/>
    <w:rPr>
      <w:rFonts w:ascii="Tahoma" w:hAnsi="Tahoma" w:cs="Tahoma"/>
      <w:sz w:val="16"/>
      <w:szCs w:val="16"/>
      <w:lang w:val="en-GB" w:eastAsia="en-US"/>
    </w:rPr>
  </w:style>
  <w:style w:type="character" w:styleId="CommentReference">
    <w:name w:val="annotation reference"/>
    <w:basedOn w:val="DefaultParagraphFont"/>
    <w:uiPriority w:val="99"/>
    <w:rsid w:val="00DD430C"/>
    <w:rPr>
      <w:sz w:val="16"/>
      <w:szCs w:val="16"/>
    </w:rPr>
  </w:style>
  <w:style w:type="paragraph" w:styleId="CommentText">
    <w:name w:val="annotation text"/>
    <w:basedOn w:val="Normal"/>
    <w:link w:val="CommentTextChar"/>
    <w:uiPriority w:val="99"/>
    <w:rsid w:val="00DD430C"/>
    <w:rPr>
      <w:sz w:val="20"/>
    </w:rPr>
  </w:style>
  <w:style w:type="character" w:customStyle="1" w:styleId="CommentTextChar">
    <w:name w:val="Comment Text Char"/>
    <w:basedOn w:val="DefaultParagraphFont"/>
    <w:link w:val="CommentText"/>
    <w:uiPriority w:val="99"/>
    <w:rsid w:val="00DD430C"/>
    <w:rPr>
      <w:lang w:val="en-GB" w:eastAsia="en-US"/>
    </w:rPr>
  </w:style>
  <w:style w:type="paragraph" w:styleId="CommentSubject">
    <w:name w:val="annotation subject"/>
    <w:basedOn w:val="CommentText"/>
    <w:next w:val="CommentText"/>
    <w:link w:val="CommentSubjectChar"/>
    <w:rsid w:val="00653FE8"/>
    <w:rPr>
      <w:b/>
      <w:bCs/>
    </w:rPr>
  </w:style>
  <w:style w:type="character" w:customStyle="1" w:styleId="CommentSubjectChar">
    <w:name w:val="Comment Subject Char"/>
    <w:basedOn w:val="CommentTextChar"/>
    <w:link w:val="CommentSubject"/>
    <w:rsid w:val="00653FE8"/>
    <w:rPr>
      <w:b/>
      <w:bCs/>
      <w:lang w:val="en-GB" w:eastAsia="en-US"/>
    </w:rPr>
  </w:style>
  <w:style w:type="paragraph" w:customStyle="1" w:styleId="Judg-4">
    <w:name w:val="Judg-4"/>
    <w:basedOn w:val="Normal"/>
    <w:qFormat/>
    <w:rsid w:val="00B677FD"/>
    <w:pPr>
      <w:snapToGrid w:val="0"/>
      <w:spacing w:before="100" w:line="360" w:lineRule="auto"/>
      <w:ind w:left="2160"/>
      <w:jc w:val="both"/>
    </w:pPr>
  </w:style>
  <w:style w:type="paragraph" w:customStyle="1" w:styleId="Judg-1">
    <w:name w:val="Judg-1"/>
    <w:basedOn w:val="Normal"/>
    <w:qFormat/>
    <w:rsid w:val="00B677FD"/>
    <w:pPr>
      <w:spacing w:before="320" w:line="360" w:lineRule="auto"/>
      <w:jc w:val="both"/>
    </w:pPr>
  </w:style>
  <w:style w:type="paragraph" w:customStyle="1" w:styleId="Judg-2">
    <w:name w:val="Judg-2"/>
    <w:basedOn w:val="Normal"/>
    <w:qFormat/>
    <w:rsid w:val="00B677FD"/>
    <w:pPr>
      <w:spacing w:before="240" w:line="360" w:lineRule="auto"/>
      <w:ind w:left="720"/>
      <w:jc w:val="both"/>
    </w:pPr>
    <w:rPr>
      <w:snapToGrid w:val="0"/>
    </w:rPr>
  </w:style>
  <w:style w:type="paragraph" w:customStyle="1" w:styleId="Judg-3">
    <w:name w:val="Judg-3"/>
    <w:basedOn w:val="Normal"/>
    <w:qFormat/>
    <w:rsid w:val="00B677FD"/>
    <w:pPr>
      <w:spacing w:before="160" w:line="360" w:lineRule="auto"/>
      <w:ind w:left="1440"/>
      <w:jc w:val="both"/>
    </w:pPr>
    <w:rPr>
      <w:snapToGrid w:val="0"/>
    </w:rPr>
  </w:style>
  <w:style w:type="paragraph" w:customStyle="1" w:styleId="Judg-5">
    <w:name w:val="Judg-5"/>
    <w:basedOn w:val="Normal"/>
    <w:qFormat/>
    <w:rsid w:val="00B677FD"/>
    <w:pPr>
      <w:snapToGrid w:val="0"/>
      <w:spacing w:line="360" w:lineRule="auto"/>
      <w:ind w:left="2880"/>
      <w:jc w:val="both"/>
    </w:pPr>
  </w:style>
  <w:style w:type="character" w:customStyle="1" w:styleId="FooterChar">
    <w:name w:val="Footer Char"/>
    <w:basedOn w:val="DefaultParagraphFont"/>
    <w:link w:val="Footer"/>
    <w:uiPriority w:val="99"/>
    <w:rsid w:val="00715FEB"/>
    <w:rPr>
      <w:sz w:val="24"/>
      <w:lang w:val="en-GB" w:eastAsia="en-US"/>
    </w:rPr>
  </w:style>
  <w:style w:type="character" w:customStyle="1" w:styleId="HeaderChar">
    <w:name w:val="Header Char"/>
    <w:basedOn w:val="DefaultParagraphFont"/>
    <w:link w:val="Header"/>
    <w:rsid w:val="00C23133"/>
    <w:rPr>
      <w:sz w:val="24"/>
      <w:lang w:val="en-GB" w:eastAsia="en-US"/>
    </w:rPr>
  </w:style>
  <w:style w:type="character" w:customStyle="1" w:styleId="FootnoteTextChar">
    <w:name w:val="Footnote Text Char"/>
    <w:basedOn w:val="DefaultParagraphFont"/>
    <w:link w:val="FootnoteText"/>
    <w:uiPriority w:val="99"/>
    <w:rsid w:val="00DC6EA8"/>
    <w:rPr>
      <w:lang w:val="en-GB" w:eastAsia="en-US"/>
    </w:rPr>
  </w:style>
  <w:style w:type="paragraph" w:styleId="ListParagraph">
    <w:name w:val="List Paragraph"/>
    <w:basedOn w:val="Normal"/>
    <w:uiPriority w:val="34"/>
    <w:qFormat/>
    <w:rsid w:val="00D97859"/>
    <w:pPr>
      <w:spacing w:after="160" w:line="480" w:lineRule="auto"/>
      <w:ind w:left="720" w:hanging="720"/>
      <w:contextualSpacing/>
      <w:jc w:val="both"/>
    </w:pPr>
    <w:rPr>
      <w:rFonts w:eastAsiaTheme="minorEastAsia"/>
      <w:szCs w:val="24"/>
      <w:lang w:val="en-US" w:eastAsia="zh-CN"/>
    </w:rPr>
  </w:style>
  <w:style w:type="paragraph" w:styleId="Revision">
    <w:name w:val="Revision"/>
    <w:hidden/>
    <w:uiPriority w:val="99"/>
    <w:semiHidden/>
    <w:rsid w:val="008A653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3100">
      <w:bodyDiv w:val="1"/>
      <w:marLeft w:val="0"/>
      <w:marRight w:val="0"/>
      <w:marTop w:val="0"/>
      <w:marBottom w:val="0"/>
      <w:divBdr>
        <w:top w:val="none" w:sz="0" w:space="0" w:color="auto"/>
        <w:left w:val="none" w:sz="0" w:space="0" w:color="auto"/>
        <w:bottom w:val="none" w:sz="0" w:space="0" w:color="auto"/>
        <w:right w:val="none" w:sz="0" w:space="0" w:color="auto"/>
      </w:divBdr>
    </w:div>
    <w:div w:id="939601985">
      <w:bodyDiv w:val="1"/>
      <w:marLeft w:val="0"/>
      <w:marRight w:val="0"/>
      <w:marTop w:val="0"/>
      <w:marBottom w:val="0"/>
      <w:divBdr>
        <w:top w:val="none" w:sz="0" w:space="0" w:color="auto"/>
        <w:left w:val="none" w:sz="0" w:space="0" w:color="auto"/>
        <w:bottom w:val="none" w:sz="0" w:space="0" w:color="auto"/>
        <w:right w:val="none" w:sz="0" w:space="0" w:color="auto"/>
      </w:divBdr>
    </w:div>
    <w:div w:id="13381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jects\Judicial%20Associates%20programme\Bench%20Memorandum%20(10.0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7309-BB50-4C7C-A333-13255B46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E:\Projects\Judicial Associates programme\Bench Memorandum (10.01.2013).dotx</Template>
  <TotalTime>9</TotalTime>
  <Pages>17</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26000</CharactersWithSpaces>
  <SharedDoc>false</SharedDoc>
  <HyperlinkBase/>
  <HLinks>
    <vt:vector size="90" baseType="variant">
      <vt:variant>
        <vt:i4>1507376</vt:i4>
      </vt:variant>
      <vt:variant>
        <vt:i4>86</vt:i4>
      </vt:variant>
      <vt:variant>
        <vt:i4>0</vt:i4>
      </vt:variant>
      <vt:variant>
        <vt:i4>5</vt:i4>
      </vt:variant>
      <vt:variant>
        <vt:lpwstr/>
      </vt:variant>
      <vt:variant>
        <vt:lpwstr>_Toc292809081</vt:lpwstr>
      </vt:variant>
      <vt:variant>
        <vt:i4>1507376</vt:i4>
      </vt:variant>
      <vt:variant>
        <vt:i4>80</vt:i4>
      </vt:variant>
      <vt:variant>
        <vt:i4>0</vt:i4>
      </vt:variant>
      <vt:variant>
        <vt:i4>5</vt:i4>
      </vt:variant>
      <vt:variant>
        <vt:lpwstr/>
      </vt:variant>
      <vt:variant>
        <vt:lpwstr>_Toc292809080</vt:lpwstr>
      </vt:variant>
      <vt:variant>
        <vt:i4>1572912</vt:i4>
      </vt:variant>
      <vt:variant>
        <vt:i4>74</vt:i4>
      </vt:variant>
      <vt:variant>
        <vt:i4>0</vt:i4>
      </vt:variant>
      <vt:variant>
        <vt:i4>5</vt:i4>
      </vt:variant>
      <vt:variant>
        <vt:lpwstr/>
      </vt:variant>
      <vt:variant>
        <vt:lpwstr>_Toc292809079</vt:lpwstr>
      </vt:variant>
      <vt:variant>
        <vt:i4>1572912</vt:i4>
      </vt:variant>
      <vt:variant>
        <vt:i4>68</vt:i4>
      </vt:variant>
      <vt:variant>
        <vt:i4>0</vt:i4>
      </vt:variant>
      <vt:variant>
        <vt:i4>5</vt:i4>
      </vt:variant>
      <vt:variant>
        <vt:lpwstr/>
      </vt:variant>
      <vt:variant>
        <vt:lpwstr>_Toc292809078</vt:lpwstr>
      </vt:variant>
      <vt:variant>
        <vt:i4>1572912</vt:i4>
      </vt:variant>
      <vt:variant>
        <vt:i4>62</vt:i4>
      </vt:variant>
      <vt:variant>
        <vt:i4>0</vt:i4>
      </vt:variant>
      <vt:variant>
        <vt:i4>5</vt:i4>
      </vt:variant>
      <vt:variant>
        <vt:lpwstr/>
      </vt:variant>
      <vt:variant>
        <vt:lpwstr>_Toc292809077</vt:lpwstr>
      </vt:variant>
      <vt:variant>
        <vt:i4>1572912</vt:i4>
      </vt:variant>
      <vt:variant>
        <vt:i4>56</vt:i4>
      </vt:variant>
      <vt:variant>
        <vt:i4>0</vt:i4>
      </vt:variant>
      <vt:variant>
        <vt:i4>5</vt:i4>
      </vt:variant>
      <vt:variant>
        <vt:lpwstr/>
      </vt:variant>
      <vt:variant>
        <vt:lpwstr>_Toc292809076</vt:lpwstr>
      </vt:variant>
      <vt:variant>
        <vt:i4>1572912</vt:i4>
      </vt:variant>
      <vt:variant>
        <vt:i4>50</vt:i4>
      </vt:variant>
      <vt:variant>
        <vt:i4>0</vt:i4>
      </vt:variant>
      <vt:variant>
        <vt:i4>5</vt:i4>
      </vt:variant>
      <vt:variant>
        <vt:lpwstr/>
      </vt:variant>
      <vt:variant>
        <vt:lpwstr>_Toc292809075</vt:lpwstr>
      </vt:variant>
      <vt:variant>
        <vt:i4>1572912</vt:i4>
      </vt:variant>
      <vt:variant>
        <vt:i4>44</vt:i4>
      </vt:variant>
      <vt:variant>
        <vt:i4>0</vt:i4>
      </vt:variant>
      <vt:variant>
        <vt:i4>5</vt:i4>
      </vt:variant>
      <vt:variant>
        <vt:lpwstr/>
      </vt:variant>
      <vt:variant>
        <vt:lpwstr>_Toc292809074</vt:lpwstr>
      </vt:variant>
      <vt:variant>
        <vt:i4>1572912</vt:i4>
      </vt:variant>
      <vt:variant>
        <vt:i4>38</vt:i4>
      </vt:variant>
      <vt:variant>
        <vt:i4>0</vt:i4>
      </vt:variant>
      <vt:variant>
        <vt:i4>5</vt:i4>
      </vt:variant>
      <vt:variant>
        <vt:lpwstr/>
      </vt:variant>
      <vt:variant>
        <vt:lpwstr>_Toc292809073</vt:lpwstr>
      </vt:variant>
      <vt:variant>
        <vt:i4>1572912</vt:i4>
      </vt:variant>
      <vt:variant>
        <vt:i4>32</vt:i4>
      </vt:variant>
      <vt:variant>
        <vt:i4>0</vt:i4>
      </vt:variant>
      <vt:variant>
        <vt:i4>5</vt:i4>
      </vt:variant>
      <vt:variant>
        <vt:lpwstr/>
      </vt:variant>
      <vt:variant>
        <vt:lpwstr>_Toc292809072</vt:lpwstr>
      </vt:variant>
      <vt:variant>
        <vt:i4>1572912</vt:i4>
      </vt:variant>
      <vt:variant>
        <vt:i4>26</vt:i4>
      </vt:variant>
      <vt:variant>
        <vt:i4>0</vt:i4>
      </vt:variant>
      <vt:variant>
        <vt:i4>5</vt:i4>
      </vt:variant>
      <vt:variant>
        <vt:lpwstr/>
      </vt:variant>
      <vt:variant>
        <vt:lpwstr>_Toc292809071</vt:lpwstr>
      </vt:variant>
      <vt:variant>
        <vt:i4>1572912</vt:i4>
      </vt:variant>
      <vt:variant>
        <vt:i4>20</vt:i4>
      </vt:variant>
      <vt:variant>
        <vt:i4>0</vt:i4>
      </vt:variant>
      <vt:variant>
        <vt:i4>5</vt:i4>
      </vt:variant>
      <vt:variant>
        <vt:lpwstr/>
      </vt:variant>
      <vt:variant>
        <vt:lpwstr>_Toc292809070</vt:lpwstr>
      </vt:variant>
      <vt:variant>
        <vt:i4>1638448</vt:i4>
      </vt:variant>
      <vt:variant>
        <vt:i4>14</vt:i4>
      </vt:variant>
      <vt:variant>
        <vt:i4>0</vt:i4>
      </vt:variant>
      <vt:variant>
        <vt:i4>5</vt:i4>
      </vt:variant>
      <vt:variant>
        <vt:lpwstr/>
      </vt:variant>
      <vt:variant>
        <vt:lpwstr>_Toc292809069</vt:lpwstr>
      </vt:variant>
      <vt:variant>
        <vt:i4>1638448</vt:i4>
      </vt:variant>
      <vt:variant>
        <vt:i4>8</vt:i4>
      </vt:variant>
      <vt:variant>
        <vt:i4>0</vt:i4>
      </vt:variant>
      <vt:variant>
        <vt:i4>5</vt:i4>
      </vt:variant>
      <vt:variant>
        <vt:lpwstr/>
      </vt:variant>
      <vt:variant>
        <vt:lpwstr>_Toc292809068</vt:lpwstr>
      </vt:variant>
      <vt:variant>
        <vt:i4>1638448</vt:i4>
      </vt:variant>
      <vt:variant>
        <vt:i4>2</vt:i4>
      </vt:variant>
      <vt:variant>
        <vt:i4>0</vt:i4>
      </vt:variant>
      <vt:variant>
        <vt:i4>5</vt:i4>
      </vt:variant>
      <vt:variant>
        <vt:lpwstr/>
      </vt:variant>
      <vt:variant>
        <vt:lpwstr>_Toc292809067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Ee Ing</dc:creator>
  <cp:keywords/>
  <dc:description/>
  <cp:lastModifiedBy>Megan CHUA Yih Wen</cp:lastModifiedBy>
  <cp:revision>7</cp:revision>
  <cp:lastPrinted>2003-02-21T02:14:00Z</cp:lastPrinted>
  <dcterms:created xsi:type="dcterms:W3CDTF">2022-05-26T04:31:00Z</dcterms:created>
  <dcterms:modified xsi:type="dcterms:W3CDTF">2022-05-27T04:07:00Z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STCAMAFAM@soe.sgnet.gov.sg</vt:lpwstr>
  </property>
  <property fmtid="{D5CDD505-2E9C-101B-9397-08002B2CF9AE}" pid="5" name="MSIP_Label_3f9331f7-95a2-472a-92bc-d73219eb516b_SetDate">
    <vt:lpwstr>2021-06-14T03:00:24.2081325Z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14db134f-0920-4748-92ca-c2a03498ae81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STCAMAFAM@soe.sgnet.gov.sg</vt:lpwstr>
  </property>
  <property fmtid="{D5CDD505-2E9C-101B-9397-08002B2CF9AE}" pid="13" name="MSIP_Label_4f288355-fb4c-44cd-b9ca-40cfc2aee5f8_SetDate">
    <vt:lpwstr>2021-06-14T03:00:24.2081325Z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14db134f-0920-4748-92ca-c2a03498ae81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1e756f9c-e3e7-4810-90da-ea6bfb97c434_Enabled">
    <vt:lpwstr>true</vt:lpwstr>
  </property>
  <property fmtid="{D5CDD505-2E9C-101B-9397-08002B2CF9AE}" pid="20" name="MSIP_Label_1e756f9c-e3e7-4810-90da-ea6bfb97c434_SetDate">
    <vt:lpwstr>2022-05-22T15:45:53Z</vt:lpwstr>
  </property>
  <property fmtid="{D5CDD505-2E9C-101B-9397-08002B2CF9AE}" pid="21" name="MSIP_Label_1e756f9c-e3e7-4810-90da-ea6bfb97c434_Method">
    <vt:lpwstr>Privileged</vt:lpwstr>
  </property>
  <property fmtid="{D5CDD505-2E9C-101B-9397-08002B2CF9AE}" pid="22" name="MSIP_Label_1e756f9c-e3e7-4810-90da-ea6bfb97c434_Name">
    <vt:lpwstr>1e756f9c-e3e7-4810-90da-ea6bfb97c434</vt:lpwstr>
  </property>
  <property fmtid="{D5CDD505-2E9C-101B-9397-08002B2CF9AE}" pid="23" name="MSIP_Label_1e756f9c-e3e7-4810-90da-ea6bfb97c434_SiteId">
    <vt:lpwstr>c98a79ca-5a9a-4791-a243-f06afd67464d</vt:lpwstr>
  </property>
  <property fmtid="{D5CDD505-2E9C-101B-9397-08002B2CF9AE}" pid="24" name="MSIP_Label_1e756f9c-e3e7-4810-90da-ea6bfb97c434_ActionId">
    <vt:lpwstr>5c404d91-d096-41c3-9f89-a6d5d9f18ef6</vt:lpwstr>
  </property>
  <property fmtid="{D5CDD505-2E9C-101B-9397-08002B2CF9AE}" pid="25" name="MSIP_Label_1e756f9c-e3e7-4810-90da-ea6bfb97c434_ContentBits">
    <vt:lpwstr>0</vt:lpwstr>
  </property>
</Properties>
</file>