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4BE7" w14:textId="7CFFD12E" w:rsidR="001F03BD" w:rsidRPr="007B327B" w:rsidRDefault="00553349" w:rsidP="003030CD">
      <w:pPr>
        <w:widowControl w:val="0"/>
        <w:jc w:val="center"/>
        <w:rPr>
          <w:b/>
          <w:bCs/>
        </w:rPr>
      </w:pPr>
      <w:r w:rsidRPr="007B327B">
        <w:rPr>
          <w:b/>
          <w:bCs/>
        </w:rPr>
        <w:t xml:space="preserve">How </w:t>
      </w:r>
      <w:r w:rsidR="00B66AC2">
        <w:rPr>
          <w:b/>
          <w:bCs/>
        </w:rPr>
        <w:t>to c</w:t>
      </w:r>
      <w:r w:rsidR="002F5AFA" w:rsidRPr="007B327B">
        <w:rPr>
          <w:b/>
          <w:bCs/>
        </w:rPr>
        <w:t>onstrue an atypical bill of lading:</w:t>
      </w:r>
    </w:p>
    <w:p w14:paraId="56AE9EF0" w14:textId="43CB5ED3" w:rsidR="00553349" w:rsidRPr="007B327B" w:rsidRDefault="001F03BD" w:rsidP="003030CD">
      <w:pPr>
        <w:widowControl w:val="0"/>
        <w:jc w:val="center"/>
        <w:rPr>
          <w:b/>
          <w:bCs/>
        </w:rPr>
      </w:pPr>
      <w:r w:rsidRPr="007B327B">
        <w:rPr>
          <w:b/>
          <w:bCs/>
          <w:i/>
          <w:iCs/>
        </w:rPr>
        <w:t>The “Luna” and another appeal</w:t>
      </w:r>
      <w:r w:rsidR="003335E0" w:rsidRPr="007B327B">
        <w:rPr>
          <w:b/>
          <w:bCs/>
          <w:i/>
          <w:iCs/>
        </w:rPr>
        <w:t xml:space="preserve"> </w:t>
      </w:r>
      <w:r w:rsidR="00A65063" w:rsidRPr="007B327B">
        <w:rPr>
          <w:b/>
          <w:bCs/>
        </w:rPr>
        <w:t>[2021] SGCA 84</w:t>
      </w:r>
    </w:p>
    <w:p w14:paraId="38157C52" w14:textId="257D2669" w:rsidR="001F03BD" w:rsidRPr="007B327B" w:rsidRDefault="001F03BD" w:rsidP="003030CD">
      <w:pPr>
        <w:widowControl w:val="0"/>
        <w:jc w:val="left"/>
        <w:rPr>
          <w:i/>
          <w:iCs/>
        </w:rPr>
      </w:pPr>
    </w:p>
    <w:p w14:paraId="6E72CCC5" w14:textId="27CBF625" w:rsidR="001A7B1A" w:rsidRPr="007B327B" w:rsidRDefault="001A7B1A" w:rsidP="003030CD">
      <w:pPr>
        <w:pStyle w:val="Heading1"/>
        <w:widowControl w:val="0"/>
        <w:ind w:left="567" w:hanging="567"/>
      </w:pPr>
      <w:r w:rsidRPr="007B327B">
        <w:t>Executive summary</w:t>
      </w:r>
    </w:p>
    <w:p w14:paraId="1BD2EC78" w14:textId="239DE7F5" w:rsidR="001C7958" w:rsidRDefault="00DC68FA" w:rsidP="003030CD">
      <w:pPr>
        <w:pStyle w:val="Heading2"/>
        <w:widowControl w:val="0"/>
        <w:numPr>
          <w:ilvl w:val="0"/>
          <w:numId w:val="0"/>
        </w:numPr>
      </w:pPr>
      <w:r>
        <w:t>B</w:t>
      </w:r>
      <w:r w:rsidR="00D2257C">
        <w:t>ill</w:t>
      </w:r>
      <w:r>
        <w:t>s</w:t>
      </w:r>
      <w:r w:rsidR="00D2257C">
        <w:t xml:space="preserve"> of lading </w:t>
      </w:r>
      <w:r>
        <w:t xml:space="preserve">have </w:t>
      </w:r>
      <w:r w:rsidR="00D2257C">
        <w:t xml:space="preserve">been described as the cornerstone of modern sea carriage (i.e. the </w:t>
      </w:r>
      <w:r w:rsidR="00D76C7B">
        <w:t xml:space="preserve">transport </w:t>
      </w:r>
      <w:r w:rsidR="00D2257C">
        <w:t xml:space="preserve">of goods by sea). </w:t>
      </w:r>
      <w:r w:rsidR="00FC4C28">
        <w:t>Traditionally, a</w:t>
      </w:r>
      <w:r w:rsidR="00980183" w:rsidRPr="007B327B">
        <w:t xml:space="preserve"> bill of lading serves three functions: (1) </w:t>
      </w:r>
      <w:r w:rsidR="00FC4C28">
        <w:t xml:space="preserve">it is a </w:t>
      </w:r>
      <w:r w:rsidR="00980183" w:rsidRPr="007B327B">
        <w:t xml:space="preserve">receipt by </w:t>
      </w:r>
      <w:r w:rsidR="00B612F2" w:rsidRPr="007B327B">
        <w:t xml:space="preserve">the carrier acknowledging the </w:t>
      </w:r>
      <w:r w:rsidR="008B3E21" w:rsidRPr="007B327B">
        <w:t>shipment of goods</w:t>
      </w:r>
      <w:r w:rsidR="006548B9" w:rsidRPr="007B327B">
        <w:t xml:space="preserve">, (2) </w:t>
      </w:r>
      <w:r w:rsidR="00FC4C28">
        <w:t xml:space="preserve">it is </w:t>
      </w:r>
      <w:r w:rsidR="006548B9" w:rsidRPr="007B327B">
        <w:t xml:space="preserve">a memorandum of the terms of </w:t>
      </w:r>
      <w:r w:rsidR="001569C3" w:rsidRPr="007B327B">
        <w:t xml:space="preserve">the </w:t>
      </w:r>
      <w:r w:rsidR="006548B9" w:rsidRPr="007B327B">
        <w:t>contract of carriage</w:t>
      </w:r>
      <w:r w:rsidR="00C37590" w:rsidRPr="007B327B">
        <w:t xml:space="preserve">, and (3) </w:t>
      </w:r>
      <w:r w:rsidR="00FC4C28">
        <w:t xml:space="preserve">it is also </w:t>
      </w:r>
      <w:r w:rsidR="00C37590" w:rsidRPr="007B327B">
        <w:t xml:space="preserve">a document of title to the goods shipped. </w:t>
      </w:r>
      <w:r w:rsidR="007270F3">
        <w:t xml:space="preserve"> </w:t>
      </w:r>
    </w:p>
    <w:p w14:paraId="78659695" w14:textId="77777777" w:rsidR="001C7958" w:rsidRDefault="001C7958" w:rsidP="003030CD">
      <w:pPr>
        <w:pStyle w:val="Heading2"/>
        <w:widowControl w:val="0"/>
        <w:numPr>
          <w:ilvl w:val="0"/>
          <w:numId w:val="0"/>
        </w:numPr>
      </w:pPr>
    </w:p>
    <w:p w14:paraId="285D87D1" w14:textId="5D3384D2" w:rsidR="001C7958" w:rsidRDefault="00FA5AB2" w:rsidP="003030CD">
      <w:pPr>
        <w:pStyle w:val="Heading2"/>
        <w:widowControl w:val="0"/>
        <w:numPr>
          <w:ilvl w:val="0"/>
          <w:numId w:val="0"/>
        </w:numPr>
      </w:pPr>
      <w:r>
        <w:t xml:space="preserve">Further, </w:t>
      </w:r>
      <w:r w:rsidR="00A172B9">
        <w:t>a bill of lading</w:t>
      </w:r>
      <w:r w:rsidR="001C7958">
        <w:t xml:space="preserve"> typically co-exists alongside an underlying sale contract</w:t>
      </w:r>
      <w:r w:rsidR="00EA4B45">
        <w:t xml:space="preserve">, </w:t>
      </w:r>
      <w:r w:rsidR="00E77905">
        <w:t>which</w:t>
      </w:r>
      <w:r w:rsidR="00EA4B45">
        <w:t xml:space="preserve"> </w:t>
      </w:r>
      <w:r w:rsidR="001C7958">
        <w:t xml:space="preserve">is issued to fulfil an underlying sale transaction which would usually precede the bill of lading. </w:t>
      </w:r>
      <w:r w:rsidR="00693AFC">
        <w:t>A</w:t>
      </w:r>
      <w:r w:rsidR="001C7958">
        <w:t xml:space="preserve"> bill of lading is independent of the sale contract in the sense that the parties to the bill of lading (the shipper and the carrier) are different from the parties to the sale contract (the buyer and the shipper/seller), and the two instruments are governed by different terms</w:t>
      </w:r>
      <w:r w:rsidR="00EA4B45">
        <w:t>. However,</w:t>
      </w:r>
      <w:r w:rsidR="001C7958">
        <w:t xml:space="preserve"> these contracts operate in tandem. </w:t>
      </w:r>
    </w:p>
    <w:p w14:paraId="4A7BE3D9" w14:textId="77777777" w:rsidR="00A172B9" w:rsidRPr="00A172B9" w:rsidRDefault="00A172B9" w:rsidP="003030CD">
      <w:pPr>
        <w:widowControl w:val="0"/>
      </w:pPr>
    </w:p>
    <w:p w14:paraId="7B79235A" w14:textId="0184737D" w:rsidR="00EF0A9E" w:rsidRDefault="009F30CB" w:rsidP="003030CD">
      <w:pPr>
        <w:pStyle w:val="Heading2"/>
        <w:widowControl w:val="0"/>
        <w:numPr>
          <w:ilvl w:val="0"/>
          <w:numId w:val="0"/>
        </w:numPr>
      </w:pPr>
      <w:r>
        <w:t xml:space="preserve">On the rare occasion when it is clear that the bill of lading could not possibly serve any of its traditional functions (as explained above), the question would then arise as to what legal effect, if any, should be ascribed to such a bill of lading. </w:t>
      </w:r>
      <w:r w:rsidR="00650FDC" w:rsidRPr="00650FDC">
        <w:t xml:space="preserve">In those situations, </w:t>
      </w:r>
      <w:r w:rsidR="00DC68FA">
        <w:t xml:space="preserve">an </w:t>
      </w:r>
      <w:r w:rsidR="00650FDC" w:rsidRPr="00650FDC">
        <w:t>over-emphasis on the “independence” of a bill of lading from its underlying sale contract</w:t>
      </w:r>
      <w:r w:rsidR="0075714D">
        <w:t xml:space="preserve"> r</w:t>
      </w:r>
      <w:r w:rsidR="00650FDC" w:rsidRPr="00650FDC">
        <w:t>isk</w:t>
      </w:r>
      <w:r w:rsidR="0075714D">
        <w:t>s</w:t>
      </w:r>
      <w:r w:rsidR="00650FDC" w:rsidRPr="00650FDC">
        <w:t xml:space="preserve"> obfuscating the proper analysis of its true legal effect.</w:t>
      </w:r>
      <w:r w:rsidR="00900EC9">
        <w:t xml:space="preserve"> </w:t>
      </w:r>
      <w:r w:rsidR="00750CA8">
        <w:t>Instead</w:t>
      </w:r>
      <w:r w:rsidR="007565DD">
        <w:t>, t</w:t>
      </w:r>
      <w:r w:rsidR="00FA5AB2">
        <w:t>he terms of the sale contract will usually be useful to understand the true legal effect of the accompanying bill of lading.</w:t>
      </w:r>
    </w:p>
    <w:p w14:paraId="600751DA" w14:textId="77777777" w:rsidR="00EF0A9E" w:rsidRPr="00EF0A9E" w:rsidRDefault="00EF0A9E" w:rsidP="003030CD">
      <w:pPr>
        <w:widowControl w:val="0"/>
      </w:pPr>
    </w:p>
    <w:p w14:paraId="4A1C0DDB" w14:textId="0D13AD13" w:rsidR="001A7B1A" w:rsidRPr="007B327B" w:rsidRDefault="00C37590" w:rsidP="003030CD">
      <w:pPr>
        <w:pStyle w:val="Heading2"/>
        <w:widowControl w:val="0"/>
        <w:numPr>
          <w:ilvl w:val="0"/>
          <w:numId w:val="0"/>
        </w:numPr>
      </w:pPr>
      <w:r w:rsidRPr="007B327B">
        <w:t xml:space="preserve">In </w:t>
      </w:r>
      <w:r w:rsidRPr="007B327B">
        <w:rPr>
          <w:i/>
          <w:iCs/>
        </w:rPr>
        <w:t xml:space="preserve">The </w:t>
      </w:r>
      <w:r w:rsidR="004735B6" w:rsidRPr="007B327B">
        <w:rPr>
          <w:i/>
          <w:iCs/>
        </w:rPr>
        <w:t>“</w:t>
      </w:r>
      <w:r w:rsidRPr="007B327B">
        <w:rPr>
          <w:i/>
          <w:iCs/>
        </w:rPr>
        <w:t>Luna</w:t>
      </w:r>
      <w:r w:rsidR="004735B6" w:rsidRPr="007B327B">
        <w:rPr>
          <w:i/>
          <w:iCs/>
        </w:rPr>
        <w:t>” and another appeal</w:t>
      </w:r>
      <w:r w:rsidR="00753B3D">
        <w:rPr>
          <w:i/>
          <w:iCs/>
        </w:rPr>
        <w:t xml:space="preserve"> </w:t>
      </w:r>
      <w:r w:rsidR="00753B3D">
        <w:t>[2021] SGCA 84</w:t>
      </w:r>
      <w:r w:rsidR="004735B6" w:rsidRPr="007B327B">
        <w:rPr>
          <w:i/>
          <w:iCs/>
        </w:rPr>
        <w:t xml:space="preserve"> </w:t>
      </w:r>
      <w:r w:rsidR="004735B6" w:rsidRPr="007B327B">
        <w:t>(</w:t>
      </w:r>
      <w:r w:rsidR="004735B6" w:rsidRPr="009861B7">
        <w:t>“</w:t>
      </w:r>
      <w:r w:rsidR="004735B6" w:rsidRPr="007B327B">
        <w:rPr>
          <w:i/>
          <w:iCs/>
        </w:rPr>
        <w:t>The Luna</w:t>
      </w:r>
      <w:r w:rsidR="004735B6" w:rsidRPr="009861B7">
        <w:t>”</w:t>
      </w:r>
      <w:r w:rsidR="002E768E" w:rsidRPr="007B327B">
        <w:t>)</w:t>
      </w:r>
      <w:r w:rsidRPr="007B327B">
        <w:t xml:space="preserve">, </w:t>
      </w:r>
      <w:r w:rsidR="00AB2E57">
        <w:t>t</w:t>
      </w:r>
      <w:r w:rsidR="00127403" w:rsidRPr="007B327B">
        <w:t>he Court of Appeal (“</w:t>
      </w:r>
      <w:r w:rsidR="002F0B3C" w:rsidRPr="0039675F">
        <w:rPr>
          <w:b/>
        </w:rPr>
        <w:t>CA</w:t>
      </w:r>
      <w:r w:rsidR="00127403" w:rsidRPr="007B327B">
        <w:t>”)</w:t>
      </w:r>
      <w:r w:rsidR="001A7B1A" w:rsidRPr="007B327B">
        <w:t xml:space="preserve"> explore</w:t>
      </w:r>
      <w:r w:rsidR="00E17D62" w:rsidRPr="007B327B">
        <w:t xml:space="preserve">d what legal effect should be ascribed to </w:t>
      </w:r>
      <w:r w:rsidR="00C275FD" w:rsidRPr="007B327B">
        <w:t xml:space="preserve">a bill of lading </w:t>
      </w:r>
      <w:r w:rsidR="003C2241">
        <w:t>that</w:t>
      </w:r>
      <w:r w:rsidR="00C275FD" w:rsidRPr="007B327B">
        <w:t xml:space="preserve"> could not serve any of its traditional functions.</w:t>
      </w:r>
      <w:r w:rsidR="00F07AEC" w:rsidRPr="007B327B">
        <w:t xml:space="preserve"> </w:t>
      </w:r>
      <w:r w:rsidR="00460911" w:rsidRPr="007B327B">
        <w:t xml:space="preserve">In doing so, the </w:t>
      </w:r>
      <w:r w:rsidR="002F0B3C">
        <w:t>CA</w:t>
      </w:r>
      <w:r w:rsidR="00460911" w:rsidRPr="007B327B">
        <w:t xml:space="preserve"> </w:t>
      </w:r>
      <w:r w:rsidR="00650E40">
        <w:t>consider</w:t>
      </w:r>
      <w:r w:rsidR="00422893">
        <w:t>ed</w:t>
      </w:r>
      <w:r w:rsidR="00650E40">
        <w:t xml:space="preserve"> the </w:t>
      </w:r>
      <w:r w:rsidR="005467D6">
        <w:t>effect of</w:t>
      </w:r>
      <w:r w:rsidR="00650E40">
        <w:t xml:space="preserve"> the underlying sale contract</w:t>
      </w:r>
      <w:r w:rsidR="00E0683B">
        <w:t>.</w:t>
      </w:r>
      <w:r w:rsidR="00823678">
        <w:t xml:space="preserve"> </w:t>
      </w:r>
      <w:r w:rsidR="00766492">
        <w:t>A</w:t>
      </w:r>
      <w:r w:rsidR="000D1BED">
        <w:t xml:space="preserve">pplying established </w:t>
      </w:r>
      <w:r w:rsidR="00B73F16">
        <w:t>principles of contrac</w:t>
      </w:r>
      <w:r w:rsidR="00DB661B">
        <w:t>t law</w:t>
      </w:r>
      <w:r w:rsidR="00460911" w:rsidRPr="007B327B">
        <w:t xml:space="preserve">, the </w:t>
      </w:r>
      <w:r w:rsidR="00EC5766">
        <w:t>CA</w:t>
      </w:r>
      <w:r w:rsidR="00460911" w:rsidRPr="007B327B">
        <w:t xml:space="preserve"> held that </w:t>
      </w:r>
      <w:r w:rsidR="00A80A4F">
        <w:t xml:space="preserve">the </w:t>
      </w:r>
      <w:r w:rsidR="00A80A4F" w:rsidRPr="00A80A4F">
        <w:t>parties’ commercial arrangements indicate</w:t>
      </w:r>
      <w:r w:rsidR="00A80A4F">
        <w:t>d</w:t>
      </w:r>
      <w:r w:rsidR="00A80A4F" w:rsidRPr="00A80A4F">
        <w:t xml:space="preserve"> that they had not intended for the </w:t>
      </w:r>
      <w:r w:rsidR="00A80A4F">
        <w:t>bills of lading in question</w:t>
      </w:r>
      <w:r w:rsidR="00A80A4F" w:rsidRPr="00A80A4F">
        <w:t xml:space="preserve"> to function as typical bills of lading</w:t>
      </w:r>
      <w:r w:rsidR="00025C45">
        <w:t xml:space="preserve">. Hence, </w:t>
      </w:r>
      <w:r w:rsidR="00E57ABB">
        <w:t>the bills of lading</w:t>
      </w:r>
      <w:r w:rsidR="00A80A4F">
        <w:t xml:space="preserve"> had</w:t>
      </w:r>
      <w:r w:rsidR="00A80A4F" w:rsidRPr="00A80A4F">
        <w:t xml:space="preserve"> no contractual force or effect as a contract of carriage or as a document of title</w:t>
      </w:r>
      <w:r w:rsidR="007D3ECD" w:rsidRPr="007B327B">
        <w:t xml:space="preserve">. </w:t>
      </w:r>
    </w:p>
    <w:p w14:paraId="069C84C5" w14:textId="46D6CB8E" w:rsidR="00974130" w:rsidRDefault="00974130" w:rsidP="003030CD">
      <w:pPr>
        <w:widowControl w:val="0"/>
      </w:pPr>
    </w:p>
    <w:p w14:paraId="394BEA64" w14:textId="1FB18A59" w:rsidR="00974130" w:rsidRPr="00974130" w:rsidRDefault="00974130" w:rsidP="003030CD">
      <w:pPr>
        <w:widowControl w:val="0"/>
      </w:pPr>
      <w:r>
        <w:t>Further, the CA</w:t>
      </w:r>
      <w:r w:rsidRPr="00974130">
        <w:t xml:space="preserve"> also </w:t>
      </w:r>
      <w:r w:rsidR="00E040E6">
        <w:t>reiterated</w:t>
      </w:r>
      <w:r w:rsidRPr="00974130">
        <w:t xml:space="preserve"> that the </w:t>
      </w:r>
      <w:r w:rsidR="0065187F">
        <w:t>“</w:t>
      </w:r>
      <w:proofErr w:type="spellStart"/>
      <w:r w:rsidRPr="00974130">
        <w:t>parol</w:t>
      </w:r>
      <w:proofErr w:type="spellEnd"/>
      <w:r w:rsidRPr="00974130">
        <w:t xml:space="preserve"> evidence rule</w:t>
      </w:r>
      <w:r w:rsidR="0065187F">
        <w:t>”</w:t>
      </w:r>
      <w:r w:rsidR="0074566C">
        <w:t xml:space="preserve">, which restricts </w:t>
      </w:r>
      <w:r w:rsidR="008060A3">
        <w:t>the</w:t>
      </w:r>
      <w:r w:rsidR="00690A83">
        <w:t xml:space="preserve"> types of</w:t>
      </w:r>
      <w:r w:rsidR="008060A3">
        <w:t xml:space="preserve"> </w:t>
      </w:r>
      <w:r w:rsidR="0074566C">
        <w:t xml:space="preserve">evidence </w:t>
      </w:r>
      <w:r w:rsidR="00532170">
        <w:t>that a</w:t>
      </w:r>
      <w:r w:rsidR="0074566C">
        <w:t xml:space="preserve"> court may consider,</w:t>
      </w:r>
      <w:r w:rsidRPr="00974130">
        <w:t xml:space="preserve"> does not apply to cases that involve </w:t>
      </w:r>
      <w:r w:rsidR="006865DB">
        <w:t xml:space="preserve">the </w:t>
      </w:r>
      <w:r w:rsidR="004709E5">
        <w:t>ascertainment</w:t>
      </w:r>
      <w:r w:rsidR="006865DB">
        <w:t xml:space="preserve"> of </w:t>
      </w:r>
      <w:r w:rsidR="00A116D6">
        <w:t xml:space="preserve">the </w:t>
      </w:r>
      <w:r w:rsidR="00EE37C5">
        <w:rPr>
          <w:i/>
          <w:iCs/>
        </w:rPr>
        <w:t>existence</w:t>
      </w:r>
      <w:r w:rsidR="00A116D6">
        <w:t xml:space="preserve"> of a contract</w:t>
      </w:r>
      <w:r w:rsidR="00025C45">
        <w:t xml:space="preserve">. Rather, the </w:t>
      </w:r>
      <w:proofErr w:type="spellStart"/>
      <w:r w:rsidR="00025C45">
        <w:t>parol</w:t>
      </w:r>
      <w:proofErr w:type="spellEnd"/>
      <w:r w:rsidR="00025C45">
        <w:t xml:space="preserve"> evidence rule applies </w:t>
      </w:r>
      <w:r w:rsidR="00450F04">
        <w:t xml:space="preserve">only </w:t>
      </w:r>
      <w:r w:rsidRPr="00974130">
        <w:t xml:space="preserve">to cases that involve the </w:t>
      </w:r>
      <w:r w:rsidRPr="0039675F">
        <w:rPr>
          <w:i/>
          <w:iCs/>
        </w:rPr>
        <w:t>interpretation</w:t>
      </w:r>
      <w:r w:rsidRPr="00974130">
        <w:t xml:space="preserve"> of a</w:t>
      </w:r>
      <w:r w:rsidR="00DB3FE5">
        <w:t>n existing</w:t>
      </w:r>
      <w:r w:rsidRPr="00974130">
        <w:t xml:space="preserve"> contract. Therefore, when determining whether the parties</w:t>
      </w:r>
      <w:r w:rsidR="006235EF">
        <w:t xml:space="preserve"> involved</w:t>
      </w:r>
      <w:r w:rsidRPr="00974130">
        <w:t xml:space="preserve"> intended the</w:t>
      </w:r>
      <w:r w:rsidR="001A1415">
        <w:t>ir</w:t>
      </w:r>
      <w:r w:rsidRPr="00974130">
        <w:t xml:space="preserve"> bills of lading to have contractual effect, </w:t>
      </w:r>
      <w:r w:rsidR="00D43E9C">
        <w:t>a</w:t>
      </w:r>
      <w:r w:rsidRPr="00974130">
        <w:t xml:space="preserve"> court </w:t>
      </w:r>
      <w:r w:rsidR="00D43E9C">
        <w:t xml:space="preserve">can </w:t>
      </w:r>
      <w:r w:rsidR="00563872">
        <w:t>consider</w:t>
      </w:r>
      <w:r w:rsidRPr="00974130">
        <w:t xml:space="preserve"> </w:t>
      </w:r>
      <w:r w:rsidRPr="0039675F">
        <w:rPr>
          <w:i/>
          <w:iCs/>
        </w:rPr>
        <w:t>all</w:t>
      </w:r>
      <w:r w:rsidRPr="00974130">
        <w:t xml:space="preserve"> the relevant </w:t>
      </w:r>
      <w:r w:rsidR="001E2B56">
        <w:t>facts</w:t>
      </w:r>
      <w:r w:rsidRPr="00974130">
        <w:t xml:space="preserve"> of the case</w:t>
      </w:r>
      <w:r w:rsidR="00BF083C">
        <w:t>,</w:t>
      </w:r>
      <w:r w:rsidR="00A73D25">
        <w:t xml:space="preserve"> as </w:t>
      </w:r>
      <w:r w:rsidR="00FE3524">
        <w:t>this goes t</w:t>
      </w:r>
      <w:r w:rsidR="00461E28">
        <w:t>owards the existence of the contract and not an interpretation of a term of the contract</w:t>
      </w:r>
      <w:r w:rsidRPr="00974130">
        <w:t>.</w:t>
      </w:r>
      <w:r w:rsidR="0021172C">
        <w:rPr>
          <w:rStyle w:val="FootnoteReference"/>
        </w:rPr>
        <w:footnoteReference w:id="2"/>
      </w:r>
      <w:r w:rsidRPr="00974130">
        <w:t xml:space="preserve"> </w:t>
      </w:r>
    </w:p>
    <w:p w14:paraId="4020DEC6" w14:textId="26B288A2" w:rsidR="008B35B7" w:rsidRDefault="008B35B7" w:rsidP="003030CD">
      <w:pPr>
        <w:widowControl w:val="0"/>
        <w:jc w:val="left"/>
        <w:rPr>
          <w:b/>
          <w:bCs/>
        </w:rPr>
      </w:pPr>
    </w:p>
    <w:p w14:paraId="314C629A" w14:textId="4CCF19E2" w:rsidR="001A7B1A" w:rsidRPr="007B327B" w:rsidRDefault="00937402" w:rsidP="003030CD">
      <w:pPr>
        <w:pStyle w:val="Heading1"/>
        <w:widowControl w:val="0"/>
        <w:ind w:left="567" w:hanging="567"/>
      </w:pPr>
      <w:r w:rsidRPr="007B327B">
        <w:t xml:space="preserve">Material facts </w:t>
      </w:r>
    </w:p>
    <w:p w14:paraId="27C85990" w14:textId="0FCBE47B" w:rsidR="001B25F8" w:rsidRDefault="00715656" w:rsidP="003030CD">
      <w:pPr>
        <w:pStyle w:val="Heading2"/>
        <w:widowControl w:val="0"/>
        <w:numPr>
          <w:ilvl w:val="0"/>
          <w:numId w:val="0"/>
        </w:numPr>
      </w:pPr>
      <w:r>
        <w:t xml:space="preserve">There are </w:t>
      </w:r>
      <w:r w:rsidR="00BC17DC">
        <w:t xml:space="preserve">a few </w:t>
      </w:r>
      <w:r w:rsidR="005D7E72">
        <w:t xml:space="preserve">main </w:t>
      </w:r>
      <w:r>
        <w:t xml:space="preserve">parties </w:t>
      </w:r>
      <w:r w:rsidR="007435A2">
        <w:t xml:space="preserve">in the case of </w:t>
      </w:r>
      <w:r w:rsidR="007435A2" w:rsidRPr="007435A2">
        <w:rPr>
          <w:i/>
          <w:iCs/>
        </w:rPr>
        <w:t>The Luna</w:t>
      </w:r>
      <w:r w:rsidR="007435A2">
        <w:t>: (1) Phillips 66 International Trading Pte Ltd (“</w:t>
      </w:r>
      <w:r w:rsidR="00474722" w:rsidRPr="003F2A8E">
        <w:rPr>
          <w:b/>
          <w:bCs/>
        </w:rPr>
        <w:t>Seller</w:t>
      </w:r>
      <w:r w:rsidR="00474722">
        <w:t>”)</w:t>
      </w:r>
      <w:r w:rsidR="00C56310">
        <w:t xml:space="preserve">, </w:t>
      </w:r>
      <w:r w:rsidR="009F06DC">
        <w:t>who was</w:t>
      </w:r>
      <w:r w:rsidR="00C56310">
        <w:t xml:space="preserve"> the seller of the bunkers</w:t>
      </w:r>
      <w:r w:rsidR="00EF284F">
        <w:t xml:space="preserve"> involved</w:t>
      </w:r>
      <w:r w:rsidR="000B35ED">
        <w:t>;</w:t>
      </w:r>
      <w:r w:rsidR="00C56310">
        <w:t xml:space="preserve"> (2) </w:t>
      </w:r>
      <w:r w:rsidR="001838E5">
        <w:t>the</w:t>
      </w:r>
      <w:r w:rsidR="00C56310">
        <w:t xml:space="preserve"> </w:t>
      </w:r>
      <w:r w:rsidR="00144385">
        <w:t xml:space="preserve">subsidiaries </w:t>
      </w:r>
      <w:r w:rsidR="008005E9">
        <w:t>(“</w:t>
      </w:r>
      <w:r w:rsidR="008005E9" w:rsidRPr="003F2A8E">
        <w:rPr>
          <w:b/>
          <w:bCs/>
        </w:rPr>
        <w:t>Buyers</w:t>
      </w:r>
      <w:r w:rsidR="008005E9">
        <w:t xml:space="preserve">”) </w:t>
      </w:r>
      <w:r w:rsidR="00144385">
        <w:t>of OW Bunker A/S</w:t>
      </w:r>
      <w:r w:rsidR="002A2A6E">
        <w:rPr>
          <w:rStyle w:val="FootnoteReference"/>
        </w:rPr>
        <w:footnoteReference w:id="3"/>
      </w:r>
      <w:r w:rsidR="001B25F8">
        <w:t xml:space="preserve"> (“</w:t>
      </w:r>
      <w:r w:rsidR="00EB05C8" w:rsidRPr="00D21A16">
        <w:rPr>
          <w:b/>
          <w:bCs/>
        </w:rPr>
        <w:t>OW Bunker</w:t>
      </w:r>
      <w:r w:rsidR="00EB05C8">
        <w:t>”)</w:t>
      </w:r>
      <w:r w:rsidR="007470BB">
        <w:t>,</w:t>
      </w:r>
      <w:r w:rsidR="00C60544">
        <w:t xml:space="preserve"> </w:t>
      </w:r>
      <w:r w:rsidR="008B3334">
        <w:t xml:space="preserve">who were </w:t>
      </w:r>
      <w:r w:rsidR="00144385">
        <w:t xml:space="preserve">the buyers of </w:t>
      </w:r>
      <w:r w:rsidR="001B25F8">
        <w:t>the bunkers</w:t>
      </w:r>
      <w:r w:rsidR="000B35ED">
        <w:t>;</w:t>
      </w:r>
      <w:r w:rsidR="001B25F8">
        <w:t xml:space="preserve"> and (3) the charterers</w:t>
      </w:r>
      <w:r w:rsidR="00D60B19">
        <w:t xml:space="preserve"> and/or owners</w:t>
      </w:r>
      <w:r w:rsidR="001B25F8">
        <w:t xml:space="preserve"> </w:t>
      </w:r>
      <w:r w:rsidR="005E6FF1">
        <w:t>(“</w:t>
      </w:r>
      <w:r w:rsidR="005E6FF1" w:rsidRPr="003F2A8E">
        <w:rPr>
          <w:b/>
          <w:bCs/>
        </w:rPr>
        <w:t>Charterers</w:t>
      </w:r>
      <w:r w:rsidR="005E6FF1">
        <w:t xml:space="preserve">”) </w:t>
      </w:r>
      <w:r w:rsidR="001B25F8">
        <w:t xml:space="preserve">of the vessels </w:t>
      </w:r>
      <w:r w:rsidR="001B25F8" w:rsidRPr="007B327B">
        <w:rPr>
          <w:i/>
          <w:iCs/>
        </w:rPr>
        <w:t>Luna</w:t>
      </w:r>
      <w:r w:rsidR="001B25F8" w:rsidRPr="007B327B">
        <w:t xml:space="preserve">, </w:t>
      </w:r>
      <w:proofErr w:type="spellStart"/>
      <w:r w:rsidR="001B25F8" w:rsidRPr="007B327B">
        <w:rPr>
          <w:i/>
          <w:iCs/>
        </w:rPr>
        <w:t>Zmaga</w:t>
      </w:r>
      <w:proofErr w:type="spellEnd"/>
      <w:r w:rsidR="001B25F8" w:rsidRPr="007B327B">
        <w:t xml:space="preserve">, </w:t>
      </w:r>
      <w:proofErr w:type="spellStart"/>
      <w:r w:rsidR="001B25F8" w:rsidRPr="007B327B">
        <w:rPr>
          <w:i/>
          <w:iCs/>
        </w:rPr>
        <w:t>Nepamora</w:t>
      </w:r>
      <w:proofErr w:type="spellEnd"/>
      <w:r w:rsidR="001B25F8" w:rsidRPr="007B327B">
        <w:t xml:space="preserve">, </w:t>
      </w:r>
      <w:r w:rsidR="001B25F8" w:rsidRPr="007B327B">
        <w:rPr>
          <w:i/>
          <w:iCs/>
        </w:rPr>
        <w:t>Star Quest</w:t>
      </w:r>
      <w:r w:rsidR="001B25F8" w:rsidRPr="007B327B">
        <w:t xml:space="preserve">, </w:t>
      </w:r>
      <w:r w:rsidR="001B25F8" w:rsidRPr="007B327B">
        <w:rPr>
          <w:i/>
          <w:iCs/>
        </w:rPr>
        <w:t>Petro Asia</w:t>
      </w:r>
      <w:r w:rsidR="001B25F8" w:rsidRPr="007B327B">
        <w:t xml:space="preserve"> and </w:t>
      </w:r>
      <w:r w:rsidR="001B25F8" w:rsidRPr="007B327B">
        <w:rPr>
          <w:i/>
          <w:iCs/>
        </w:rPr>
        <w:t>Arowana Milan</w:t>
      </w:r>
      <w:r w:rsidR="001B25F8">
        <w:rPr>
          <w:i/>
          <w:iCs/>
        </w:rPr>
        <w:t xml:space="preserve"> </w:t>
      </w:r>
      <w:r w:rsidR="001B25F8">
        <w:t>(“</w:t>
      </w:r>
      <w:r w:rsidR="00CE0865" w:rsidRPr="003F2A8E">
        <w:rPr>
          <w:b/>
          <w:bCs/>
        </w:rPr>
        <w:t>Vessels</w:t>
      </w:r>
      <w:r w:rsidR="00CE0865">
        <w:t>”)</w:t>
      </w:r>
      <w:r w:rsidR="00CE6DA8">
        <w:t xml:space="preserve">, </w:t>
      </w:r>
      <w:r w:rsidR="00F94C60">
        <w:t>which were</w:t>
      </w:r>
      <w:r w:rsidR="00CE6DA8">
        <w:t xml:space="preserve"> the </w:t>
      </w:r>
      <w:r w:rsidR="00A14AB3">
        <w:t xml:space="preserve">vessels that transported the bunkers from </w:t>
      </w:r>
      <w:r w:rsidR="002A2A6E">
        <w:t xml:space="preserve">the Sellers </w:t>
      </w:r>
      <w:r w:rsidR="00A14AB3">
        <w:t xml:space="preserve">to the Buyers. </w:t>
      </w:r>
    </w:p>
    <w:p w14:paraId="0E253922" w14:textId="77777777" w:rsidR="001B25F8" w:rsidRPr="001B25F8" w:rsidRDefault="001B25F8" w:rsidP="003030CD">
      <w:pPr>
        <w:widowControl w:val="0"/>
      </w:pPr>
    </w:p>
    <w:p w14:paraId="64C90454" w14:textId="1F5E03E7" w:rsidR="006F6350" w:rsidRDefault="00700F14" w:rsidP="003030CD">
      <w:pPr>
        <w:pStyle w:val="Heading2"/>
        <w:widowControl w:val="0"/>
        <w:numPr>
          <w:ilvl w:val="0"/>
          <w:numId w:val="0"/>
        </w:numPr>
      </w:pPr>
      <w:r>
        <w:t xml:space="preserve">The </w:t>
      </w:r>
      <w:r w:rsidRPr="00E96063">
        <w:t>Seller</w:t>
      </w:r>
      <w:r w:rsidRPr="007B327B">
        <w:t xml:space="preserve"> </w:t>
      </w:r>
      <w:r w:rsidR="00B0373D" w:rsidRPr="007B327B">
        <w:t>trades and supplies bunker fuel</w:t>
      </w:r>
      <w:r w:rsidR="000D42AA">
        <w:t>.</w:t>
      </w:r>
      <w:r w:rsidR="006C1A94">
        <w:t xml:space="preserve"> This </w:t>
      </w:r>
      <w:r w:rsidR="006C1A94" w:rsidRPr="006C1A94">
        <w:t>entails purchasing fuel oil in bulk, storing</w:t>
      </w:r>
      <w:r w:rsidR="00E70CAA">
        <w:t xml:space="preserve"> and </w:t>
      </w:r>
      <w:r w:rsidR="006C1A94" w:rsidRPr="006C1A94">
        <w:t>blending the fuel oil in storage tanks leased from Vopak Terminal Pte Ltd (“</w:t>
      </w:r>
      <w:r w:rsidR="006C1A94" w:rsidRPr="00D21A16">
        <w:rPr>
          <w:b/>
          <w:bCs/>
        </w:rPr>
        <w:t>Vopak Terminal</w:t>
      </w:r>
      <w:r w:rsidR="006C1A94" w:rsidRPr="006C1A94">
        <w:t xml:space="preserve">”), and then selling the product from Vopak Terminal. In some of these sales, the bunkers were sold on an </w:t>
      </w:r>
      <w:r w:rsidR="00E96063">
        <w:lastRenderedPageBreak/>
        <w:t>free on board</w:t>
      </w:r>
      <w:r w:rsidR="006C1A94" w:rsidRPr="006C1A94">
        <w:t xml:space="preserve"> basis</w:t>
      </w:r>
      <w:r w:rsidR="00331DD3">
        <w:rPr>
          <w:rStyle w:val="FootnoteReference"/>
        </w:rPr>
        <w:footnoteReference w:id="4"/>
      </w:r>
      <w:r w:rsidR="006C1A94" w:rsidRPr="006C1A94">
        <w:t xml:space="preserve"> for delivery to bunker barges. The bunker fuel loaded on these bunker barges would then be on-sold by the </w:t>
      </w:r>
      <w:r w:rsidR="001E44B6">
        <w:t>Buyer’s</w:t>
      </w:r>
      <w:r w:rsidR="006C1A94" w:rsidRPr="006C1A94">
        <w:t xml:space="preserve"> customers to ocean-going vessels in Singapore. </w:t>
      </w:r>
    </w:p>
    <w:p w14:paraId="3FD187F4" w14:textId="77777777" w:rsidR="006F6350" w:rsidRDefault="006F6350" w:rsidP="003030CD">
      <w:pPr>
        <w:pStyle w:val="Heading2"/>
        <w:widowControl w:val="0"/>
        <w:numPr>
          <w:ilvl w:val="0"/>
          <w:numId w:val="0"/>
        </w:numPr>
      </w:pPr>
    </w:p>
    <w:p w14:paraId="0C67252E" w14:textId="64981018" w:rsidR="00F466A1" w:rsidRDefault="006F6350" w:rsidP="003030CD">
      <w:pPr>
        <w:pStyle w:val="Heading2"/>
        <w:widowControl w:val="0"/>
        <w:numPr>
          <w:ilvl w:val="0"/>
          <w:numId w:val="0"/>
        </w:numPr>
      </w:pPr>
      <w:r>
        <w:t>In 2014, t</w:t>
      </w:r>
      <w:r w:rsidR="00405004">
        <w:t xml:space="preserve">he </w:t>
      </w:r>
      <w:r w:rsidR="00D51F1D">
        <w:t>Seller</w:t>
      </w:r>
      <w:r w:rsidR="00675609">
        <w:t xml:space="preserve"> entered into </w:t>
      </w:r>
      <w:r>
        <w:t xml:space="preserve">three </w:t>
      </w:r>
      <w:r w:rsidR="00675609" w:rsidRPr="007B327B">
        <w:t>sale contract</w:t>
      </w:r>
      <w:r>
        <w:t>s</w:t>
      </w:r>
      <w:r w:rsidR="00675609" w:rsidRPr="007B327B">
        <w:t xml:space="preserve"> </w:t>
      </w:r>
      <w:r w:rsidR="00675609">
        <w:t>to sell bunkers to the Buyers.</w:t>
      </w:r>
      <w:r w:rsidR="00675609" w:rsidRPr="007B327B">
        <w:t xml:space="preserve"> </w:t>
      </w:r>
      <w:r w:rsidR="00F466A1">
        <w:t>T</w:t>
      </w:r>
      <w:r w:rsidR="00F466A1" w:rsidRPr="00F466A1">
        <w:t>he sale contracts incorporated t</w:t>
      </w:r>
      <w:r w:rsidR="00820FFB">
        <w:t xml:space="preserve">he Seller’s </w:t>
      </w:r>
      <w:r w:rsidR="00F466A1" w:rsidRPr="00F466A1">
        <w:t>General Terms and Conditions for Sales of Marine Fuel February 2013</w:t>
      </w:r>
      <w:r w:rsidR="004D204D">
        <w:t xml:space="preserve"> (“</w:t>
      </w:r>
      <w:r w:rsidR="004D204D">
        <w:rPr>
          <w:b/>
          <w:bCs/>
        </w:rPr>
        <w:t>GTC</w:t>
      </w:r>
      <w:r w:rsidR="004D204D">
        <w:t>”)</w:t>
      </w:r>
      <w:r w:rsidR="00F466A1" w:rsidRPr="00F466A1">
        <w:t xml:space="preserve">. The sale contracts also provided that payment for the bunkers would only become due upon the expiry of 30 calendar days after the certificate of quantity </w:t>
      </w:r>
      <w:r w:rsidR="00255A5B">
        <w:t>(“</w:t>
      </w:r>
      <w:r w:rsidR="00255A5B" w:rsidRPr="008C4F1E">
        <w:rPr>
          <w:b/>
          <w:bCs/>
        </w:rPr>
        <w:t>CQ</w:t>
      </w:r>
      <w:r w:rsidR="00255A5B">
        <w:t xml:space="preserve">”) </w:t>
      </w:r>
      <w:r w:rsidR="00F466A1" w:rsidRPr="00F466A1">
        <w:t xml:space="preserve">date. In other words, the Buyers purchased the bunkers from the </w:t>
      </w:r>
      <w:r w:rsidR="000A4064">
        <w:t>Seller</w:t>
      </w:r>
      <w:r w:rsidR="000A4064" w:rsidRPr="00F466A1">
        <w:t xml:space="preserve"> </w:t>
      </w:r>
      <w:r w:rsidR="00F466A1" w:rsidRPr="00F466A1">
        <w:t>on 30 days’ credit.</w:t>
      </w:r>
    </w:p>
    <w:p w14:paraId="527508A7" w14:textId="77777777" w:rsidR="00F466A1" w:rsidRPr="00F466A1" w:rsidRDefault="00F466A1" w:rsidP="003030CD">
      <w:pPr>
        <w:widowControl w:val="0"/>
      </w:pPr>
    </w:p>
    <w:p w14:paraId="642977B8" w14:textId="636C4BC7" w:rsidR="00F428BC" w:rsidRDefault="00EE1547" w:rsidP="003030CD">
      <w:pPr>
        <w:pStyle w:val="Heading2"/>
        <w:widowControl w:val="0"/>
        <w:numPr>
          <w:ilvl w:val="0"/>
          <w:numId w:val="0"/>
        </w:numPr>
      </w:pPr>
      <w:r w:rsidRPr="007B327B">
        <w:t xml:space="preserve">The </w:t>
      </w:r>
      <w:r w:rsidR="003B654D">
        <w:t>Vessels</w:t>
      </w:r>
      <w:r w:rsidR="003B654D" w:rsidRPr="007B327B">
        <w:t xml:space="preserve"> </w:t>
      </w:r>
      <w:r w:rsidR="00864A03" w:rsidRPr="007B327B">
        <w:t>were</w:t>
      </w:r>
      <w:r w:rsidR="005C3E86" w:rsidRPr="007B327B">
        <w:t xml:space="preserve"> bunker barge</w:t>
      </w:r>
      <w:r w:rsidR="00864A03" w:rsidRPr="007B327B">
        <w:t>s</w:t>
      </w:r>
      <w:r w:rsidR="005C3E86" w:rsidRPr="007B327B">
        <w:t xml:space="preserve"> used to supply bunker fuel to other vessels. </w:t>
      </w:r>
      <w:r w:rsidR="00A31D66">
        <w:t xml:space="preserve">Upon </w:t>
      </w:r>
      <w:r w:rsidR="00E3278B">
        <w:t xml:space="preserve"> </w:t>
      </w:r>
      <w:r w:rsidR="00A31D66">
        <w:t xml:space="preserve">loading </w:t>
      </w:r>
      <w:r w:rsidR="001168E0">
        <w:t xml:space="preserve">of </w:t>
      </w:r>
      <w:r w:rsidR="00A31D66">
        <w:t>the bunkers at Vopak Terminal</w:t>
      </w:r>
      <w:r w:rsidR="001168E0">
        <w:t xml:space="preserve">, </w:t>
      </w:r>
      <w:r w:rsidR="006605A3" w:rsidRPr="006605A3">
        <w:t>Vopak Terminal</w:t>
      </w:r>
      <w:r w:rsidR="006605A3">
        <w:t xml:space="preserve"> would</w:t>
      </w:r>
      <w:r w:rsidR="006605A3" w:rsidRPr="006605A3">
        <w:t xml:space="preserve"> generate several documents in respect of the bunkers, including a </w:t>
      </w:r>
      <w:r w:rsidR="006605A3" w:rsidRPr="00016272">
        <w:t>CQ</w:t>
      </w:r>
      <w:r w:rsidR="00255A5B">
        <w:t xml:space="preserve"> </w:t>
      </w:r>
      <w:r w:rsidR="006605A3" w:rsidRPr="006605A3">
        <w:t>and a document issued in triplicate titled “Bill of Lading” (“</w:t>
      </w:r>
      <w:r w:rsidR="006605A3" w:rsidRPr="00D21A16">
        <w:rPr>
          <w:b/>
          <w:bCs/>
        </w:rPr>
        <w:t>the Vopak BLs</w:t>
      </w:r>
      <w:r w:rsidR="006605A3" w:rsidRPr="006605A3">
        <w:t>”)</w:t>
      </w:r>
      <w:r w:rsidR="004532BE">
        <w:t xml:space="preserve">. </w:t>
      </w:r>
      <w:r w:rsidR="001D3F87" w:rsidRPr="001D3F87">
        <w:t xml:space="preserve">The Vopak BLs were </w:t>
      </w:r>
      <w:r w:rsidR="0040749D">
        <w:t>supposed</w:t>
      </w:r>
      <w:r w:rsidR="001D3F87" w:rsidRPr="001D3F87">
        <w:t xml:space="preserve"> to be signed and stamped by the master of </w:t>
      </w:r>
      <w:r w:rsidR="00C07824">
        <w:t>each</w:t>
      </w:r>
      <w:r w:rsidR="001D3F87" w:rsidRPr="001D3F87">
        <w:t xml:space="preserve"> Vessel</w:t>
      </w:r>
      <w:r w:rsidR="00695557">
        <w:t xml:space="preserve"> and they</w:t>
      </w:r>
      <w:r w:rsidR="00896C6B">
        <w:t xml:space="preserve"> included the phrase “bound for BUNKERS FOR OCEAN GOING VESSELS”.</w:t>
      </w:r>
    </w:p>
    <w:p w14:paraId="7AAE849F" w14:textId="5151D8AB" w:rsidR="00E770CD" w:rsidRDefault="00E770CD" w:rsidP="003030CD">
      <w:pPr>
        <w:widowControl w:val="0"/>
      </w:pPr>
    </w:p>
    <w:p w14:paraId="4BF1F5B5" w14:textId="6376F98B" w:rsidR="00E770CD" w:rsidRPr="00E770CD" w:rsidRDefault="00C606D4" w:rsidP="003030CD">
      <w:pPr>
        <w:widowControl w:val="0"/>
      </w:pPr>
      <w:r>
        <w:t>A</w:t>
      </w:r>
      <w:r w:rsidR="00E770CD" w:rsidRPr="00E770CD">
        <w:t>fter the completion of each loading, the CQ, the Vopak BLs and other documents would be sent by Vopak Terminal to</w:t>
      </w:r>
      <w:r w:rsidR="006D43E5">
        <w:t xml:space="preserve"> the Seller</w:t>
      </w:r>
      <w:r w:rsidR="00E770CD" w:rsidRPr="00E770CD">
        <w:t xml:space="preserve">. </w:t>
      </w:r>
      <w:r w:rsidR="002526EB">
        <w:t>If</w:t>
      </w:r>
      <w:r w:rsidR="00E770CD" w:rsidRPr="00E770CD">
        <w:t xml:space="preserve"> the original CQ and the Vopak BLs were not yet in hand, the </w:t>
      </w:r>
      <w:r w:rsidR="004A6213">
        <w:t>Seller</w:t>
      </w:r>
      <w:r w:rsidR="004A6213" w:rsidRPr="00E770CD">
        <w:t xml:space="preserve"> </w:t>
      </w:r>
      <w:r w:rsidR="00E770CD" w:rsidRPr="00E770CD">
        <w:t xml:space="preserve">would email scanned copies of </w:t>
      </w:r>
      <w:r w:rsidR="008C4DA2">
        <w:t>them,</w:t>
      </w:r>
      <w:r w:rsidR="00E770CD" w:rsidRPr="00E770CD">
        <w:t xml:space="preserve"> together with its invoice</w:t>
      </w:r>
      <w:r w:rsidR="008C4DA2">
        <w:t>,</w:t>
      </w:r>
      <w:r w:rsidR="00E770CD" w:rsidRPr="00E770CD">
        <w:t xml:space="preserve"> to the Buyers. Once in hand, only the original CQ would be couriered to the Buyers; the Vopak BLs would remain with the </w:t>
      </w:r>
      <w:r w:rsidR="0036351F">
        <w:t>Seller</w:t>
      </w:r>
      <w:r w:rsidR="0036351F" w:rsidRPr="00E770CD">
        <w:t xml:space="preserve"> </w:t>
      </w:r>
      <w:r w:rsidR="00E770CD" w:rsidRPr="00E770CD">
        <w:t>until after payment was received.</w:t>
      </w:r>
      <w:r w:rsidR="00A16455">
        <w:t xml:space="preserve"> T</w:t>
      </w:r>
      <w:r w:rsidR="00E770CD" w:rsidRPr="00E770CD">
        <w:t xml:space="preserve">he </w:t>
      </w:r>
      <w:r w:rsidR="004C025E">
        <w:t>Seller</w:t>
      </w:r>
      <w:r w:rsidR="004C025E" w:rsidRPr="00E770CD">
        <w:t xml:space="preserve"> </w:t>
      </w:r>
      <w:r w:rsidR="00E770CD" w:rsidRPr="00E770CD">
        <w:t>issued its invoices for the bunker shipments sometime after the loading dates, between 31 October 2014 and 5 November 2014.</w:t>
      </w:r>
    </w:p>
    <w:p w14:paraId="5F7D9D90" w14:textId="77777777" w:rsidR="00675609" w:rsidRPr="00675609" w:rsidRDefault="00675609" w:rsidP="003030CD">
      <w:pPr>
        <w:widowControl w:val="0"/>
      </w:pPr>
    </w:p>
    <w:p w14:paraId="55918F0D" w14:textId="373CB28D" w:rsidR="00510F5D" w:rsidRPr="00510F5D" w:rsidRDefault="002104C0" w:rsidP="003030CD">
      <w:pPr>
        <w:pStyle w:val="Heading2"/>
        <w:widowControl w:val="0"/>
        <w:numPr>
          <w:ilvl w:val="0"/>
          <w:numId w:val="0"/>
        </w:numPr>
      </w:pPr>
      <w:r>
        <w:t>T</w:t>
      </w:r>
      <w:r w:rsidR="00A6799B">
        <w:t xml:space="preserve">he </w:t>
      </w:r>
      <w:r w:rsidR="00995FA4">
        <w:t xml:space="preserve">delivery of the bunkers </w:t>
      </w:r>
      <w:r w:rsidR="00ED03BF">
        <w:t xml:space="preserve">here </w:t>
      </w:r>
      <w:r w:rsidR="00E57E84">
        <w:t>was</w:t>
      </w:r>
      <w:r w:rsidR="00995FA4">
        <w:t xml:space="preserve"> done without the production of the </w:t>
      </w:r>
      <w:r w:rsidR="00A31D66">
        <w:t xml:space="preserve">original </w:t>
      </w:r>
      <w:r w:rsidR="00995FA4">
        <w:t>Vopak BLs</w:t>
      </w:r>
      <w:r w:rsidR="00A01FE4">
        <w:t>, which were still in the Seller’s possession at the time in question</w:t>
      </w:r>
      <w:r w:rsidR="00995FA4">
        <w:t xml:space="preserve">. </w:t>
      </w:r>
      <w:r w:rsidR="00510F5D">
        <w:t xml:space="preserve">Further, some Vessels </w:t>
      </w:r>
      <w:r w:rsidR="00510F5D" w:rsidRPr="00510F5D">
        <w:t>returned to Vopak Terminal or went to another terminal in Singapore to load additional</w:t>
      </w:r>
      <w:r w:rsidR="00510F5D">
        <w:t xml:space="preserve"> bunkers even before the previous shipment of bunkers had been fully discharged. This resulted in the commingling of bunkers on board.</w:t>
      </w:r>
    </w:p>
    <w:p w14:paraId="24BABCFF" w14:textId="77777777" w:rsidR="00D42EB4" w:rsidRDefault="00D42EB4" w:rsidP="003030CD">
      <w:pPr>
        <w:pStyle w:val="Heading2"/>
        <w:widowControl w:val="0"/>
        <w:numPr>
          <w:ilvl w:val="0"/>
          <w:numId w:val="0"/>
        </w:numPr>
      </w:pPr>
    </w:p>
    <w:p w14:paraId="6677AE85" w14:textId="79A7C844" w:rsidR="00416232" w:rsidRPr="007B327B" w:rsidRDefault="00995FA4" w:rsidP="003030CD">
      <w:pPr>
        <w:pStyle w:val="Heading2"/>
        <w:widowControl w:val="0"/>
        <w:numPr>
          <w:ilvl w:val="0"/>
          <w:numId w:val="0"/>
        </w:numPr>
      </w:pPr>
      <w:r>
        <w:t xml:space="preserve">Additionally, the bunkers were delivered to various ocean-going vessels shortly after they were loaded on board the </w:t>
      </w:r>
      <w:r w:rsidR="00574BE6">
        <w:t xml:space="preserve">vessels of the Charterers. </w:t>
      </w:r>
      <w:r w:rsidR="00944FC0">
        <w:t>Since</w:t>
      </w:r>
      <w:r w:rsidR="0066593B">
        <w:t xml:space="preserve"> the Vopak BLs had been in the possession of </w:t>
      </w:r>
      <w:r w:rsidR="005161DD">
        <w:t xml:space="preserve">the Seller </w:t>
      </w:r>
      <w:r w:rsidR="00A31D66">
        <w:t>at the material</w:t>
      </w:r>
      <w:r w:rsidR="005161DD">
        <w:t xml:space="preserve"> time</w:t>
      </w:r>
      <w:r w:rsidR="00944FC0">
        <w:t xml:space="preserve">, </w:t>
      </w:r>
      <w:r w:rsidR="00C50888">
        <w:t>it was impossible for the Vopak BLs to be presented to the Charterers before the bunkers were unloaded</w:t>
      </w:r>
      <w:r w:rsidR="00605399">
        <w:t xml:space="preserve"> onto the ocean-going vessels. </w:t>
      </w:r>
    </w:p>
    <w:p w14:paraId="224A78AA" w14:textId="1E03E096" w:rsidR="00FA696E" w:rsidRPr="007B327B" w:rsidRDefault="00FA696E" w:rsidP="003030CD">
      <w:pPr>
        <w:widowControl w:val="0"/>
      </w:pPr>
    </w:p>
    <w:p w14:paraId="112C722D" w14:textId="61777FD0" w:rsidR="005A526C" w:rsidRDefault="00397F20" w:rsidP="003030CD">
      <w:pPr>
        <w:pStyle w:val="Heading2"/>
        <w:widowControl w:val="0"/>
        <w:numPr>
          <w:ilvl w:val="0"/>
          <w:numId w:val="0"/>
        </w:numPr>
      </w:pPr>
      <w:r>
        <w:t>In November 2014</w:t>
      </w:r>
      <w:r w:rsidR="00B57B6A">
        <w:t xml:space="preserve">, </w:t>
      </w:r>
      <w:r w:rsidR="00022C6B" w:rsidRPr="00022C6B">
        <w:t>OW Bunker became insolvent</w:t>
      </w:r>
      <w:r w:rsidR="00022C6B">
        <w:t>, and</w:t>
      </w:r>
      <w:r w:rsidR="00B57B6A">
        <w:t xml:space="preserve"> the Buyers defaulted on </w:t>
      </w:r>
      <w:r w:rsidR="00883908">
        <w:t xml:space="preserve">the </w:t>
      </w:r>
      <w:r w:rsidR="00B57B6A">
        <w:t xml:space="preserve">payment of the bunkers to </w:t>
      </w:r>
      <w:r w:rsidR="00691D9E">
        <w:t>the Seller</w:t>
      </w:r>
      <w:r w:rsidR="00B57B6A">
        <w:t xml:space="preserve">. </w:t>
      </w:r>
      <w:r w:rsidR="0043208A">
        <w:t xml:space="preserve">To recover </w:t>
      </w:r>
      <w:r w:rsidR="00425150">
        <w:t xml:space="preserve">the loss of payment, </w:t>
      </w:r>
      <w:r w:rsidR="00691D9E">
        <w:t>the Seller</w:t>
      </w:r>
      <w:r w:rsidR="00691D9E" w:rsidRPr="007B327B">
        <w:t xml:space="preserve"> </w:t>
      </w:r>
      <w:r w:rsidR="00375B3D" w:rsidRPr="007B327B">
        <w:t xml:space="preserve">demanded delivery of the bunkers from the </w:t>
      </w:r>
      <w:r w:rsidR="00425150">
        <w:t>Charterers</w:t>
      </w:r>
      <w:r w:rsidR="00375B3D" w:rsidRPr="007B327B">
        <w:t xml:space="preserve"> on the ground that it was the </w:t>
      </w:r>
      <w:r w:rsidR="00025677" w:rsidRPr="00025677">
        <w:t xml:space="preserve">shipper and/or person entitled to possession of the bunkers under the Vopak BLs and </w:t>
      </w:r>
      <w:r w:rsidR="00375B3D" w:rsidRPr="007B327B">
        <w:t xml:space="preserve">the holder of the </w:t>
      </w:r>
      <w:r w:rsidR="00660B76" w:rsidRPr="007B327B">
        <w:t>Vopak</w:t>
      </w:r>
      <w:r w:rsidR="00425150">
        <w:t xml:space="preserve"> BLs</w:t>
      </w:r>
      <w:r w:rsidR="00660B76" w:rsidRPr="007B327B">
        <w:t xml:space="preserve">. </w:t>
      </w:r>
      <w:r w:rsidR="005A526C" w:rsidRPr="005A526C">
        <w:t xml:space="preserve">The Vessels were separately arrested by the </w:t>
      </w:r>
      <w:r w:rsidR="005A526C">
        <w:t xml:space="preserve">Seller </w:t>
      </w:r>
      <w:r w:rsidR="00A31D66">
        <w:t xml:space="preserve">on 14 </w:t>
      </w:r>
      <w:r w:rsidR="005A526C">
        <w:t xml:space="preserve">November </w:t>
      </w:r>
      <w:r w:rsidR="005A526C" w:rsidRPr="005A526C">
        <w:t>2014</w:t>
      </w:r>
      <w:r w:rsidR="00A31D66">
        <w:t>, 15 November 2014, and 17 November 2014</w:t>
      </w:r>
      <w:r w:rsidR="005A526C" w:rsidRPr="005A526C">
        <w:t>.</w:t>
      </w:r>
    </w:p>
    <w:p w14:paraId="0CC39298" w14:textId="7D1EAE6C" w:rsidR="00FA5336" w:rsidRDefault="00425150" w:rsidP="003030CD">
      <w:pPr>
        <w:pStyle w:val="Heading2"/>
        <w:widowControl w:val="0"/>
        <w:numPr>
          <w:ilvl w:val="0"/>
          <w:numId w:val="0"/>
        </w:numPr>
        <w:rPr>
          <w:highlight w:val="yellow"/>
        </w:rPr>
      </w:pPr>
      <w:r w:rsidRPr="0039675F">
        <w:rPr>
          <w:highlight w:val="yellow"/>
        </w:rPr>
        <w:t xml:space="preserve"> </w:t>
      </w:r>
    </w:p>
    <w:p w14:paraId="59059300" w14:textId="25C6AD1E" w:rsidR="00FA5336" w:rsidRDefault="00FA5336" w:rsidP="003030CD">
      <w:pPr>
        <w:widowControl w:val="0"/>
      </w:pPr>
      <w:r w:rsidRPr="00FA5336">
        <w:t xml:space="preserve">After the Vessels were arrested, the </w:t>
      </w:r>
      <w:r>
        <w:t>Seller</w:t>
      </w:r>
      <w:r w:rsidRPr="00FA5336">
        <w:t xml:space="preserve"> applied for summary judgment of its claims against the </w:t>
      </w:r>
      <w:r w:rsidR="00D732C2">
        <w:t>Charterers</w:t>
      </w:r>
      <w:r w:rsidRPr="00FA5336">
        <w:t>.</w:t>
      </w:r>
      <w:r w:rsidR="000C4F65">
        <w:t xml:space="preserve"> </w:t>
      </w:r>
      <w:r w:rsidR="00147B74">
        <w:t>The application for summary judgment was dismissed by the Assistant Registrar</w:t>
      </w:r>
      <w:r w:rsidR="002E690E">
        <w:t xml:space="preserve"> (“</w:t>
      </w:r>
      <w:r w:rsidR="002E690E">
        <w:rPr>
          <w:b/>
          <w:bCs/>
        </w:rPr>
        <w:t>AR</w:t>
      </w:r>
      <w:r w:rsidR="002E690E">
        <w:t>”)</w:t>
      </w:r>
      <w:r w:rsidR="00EC0A4B">
        <w:t>.</w:t>
      </w:r>
      <w:r w:rsidR="00395C48" w:rsidRPr="00395C48">
        <w:t xml:space="preserve"> </w:t>
      </w:r>
      <w:r w:rsidR="00DF7C54">
        <w:t>On appeal, t</w:t>
      </w:r>
      <w:r w:rsidR="00395C48">
        <w:t xml:space="preserve">he AR’s decision was </w:t>
      </w:r>
      <w:r w:rsidR="00D31D29">
        <w:t xml:space="preserve">upheld </w:t>
      </w:r>
      <w:r w:rsidR="00DF7C54">
        <w:t>by the High Court (“</w:t>
      </w:r>
      <w:r w:rsidR="00DF7C54" w:rsidRPr="000A1B5A">
        <w:rPr>
          <w:b/>
          <w:bCs/>
        </w:rPr>
        <w:t>HC</w:t>
      </w:r>
      <w:r w:rsidR="00DF7C54">
        <w:t xml:space="preserve">”) in </w:t>
      </w:r>
      <w:r w:rsidR="00DF7C54" w:rsidRPr="000A1B5A">
        <w:rPr>
          <w:i/>
          <w:iCs/>
        </w:rPr>
        <w:t>The Star Quest and other matters</w:t>
      </w:r>
      <w:r w:rsidR="00DF7C54">
        <w:t xml:space="preserve"> [2016] 3 SLR 1280. </w:t>
      </w:r>
    </w:p>
    <w:p w14:paraId="2E5BF88D" w14:textId="77777777" w:rsidR="000C4F65" w:rsidRPr="00FA5336" w:rsidRDefault="000C4F65" w:rsidP="003030CD">
      <w:pPr>
        <w:widowControl w:val="0"/>
        <w:rPr>
          <w:highlight w:val="yellow"/>
        </w:rPr>
      </w:pPr>
    </w:p>
    <w:p w14:paraId="6A35DCA4" w14:textId="1DB78A21" w:rsidR="007D7C4D" w:rsidRDefault="007D7C4D" w:rsidP="003030CD">
      <w:pPr>
        <w:pStyle w:val="Heading1"/>
        <w:widowControl w:val="0"/>
        <w:ind w:left="567" w:hanging="567"/>
      </w:pPr>
      <w:r>
        <w:t xml:space="preserve">The High Court decision </w:t>
      </w:r>
    </w:p>
    <w:p w14:paraId="301D828C" w14:textId="5F0F7378" w:rsidR="00EC0A4B" w:rsidRDefault="00EC0A4B" w:rsidP="003030CD">
      <w:pPr>
        <w:widowControl w:val="0"/>
      </w:pPr>
      <w:r w:rsidRPr="000C4F65">
        <w:t xml:space="preserve">One of the main issues raised </w:t>
      </w:r>
      <w:r w:rsidR="00344EC2">
        <w:t xml:space="preserve">in the HC </w:t>
      </w:r>
      <w:r w:rsidRPr="000C4F65">
        <w:t xml:space="preserve">was whether the Vopak BLs had been intended to operate as contractual documents and/or as documents of title. </w:t>
      </w:r>
      <w:r>
        <w:t>T</w:t>
      </w:r>
      <w:r w:rsidRPr="000C4F65">
        <w:t xml:space="preserve">he </w:t>
      </w:r>
      <w:r>
        <w:t>Seller</w:t>
      </w:r>
      <w:r w:rsidRPr="000C4F65">
        <w:t xml:space="preserve"> contended that the Vopak BLs were typical bills of lading and ought to be given their full force as such</w:t>
      </w:r>
      <w:r>
        <w:t xml:space="preserve">. Conversely, </w:t>
      </w:r>
      <w:r w:rsidRPr="000C4F65">
        <w:t>the</w:t>
      </w:r>
      <w:r>
        <w:t xml:space="preserve"> Charterers</w:t>
      </w:r>
      <w:r w:rsidRPr="006433C0">
        <w:t xml:space="preserve"> </w:t>
      </w:r>
      <w:r>
        <w:t>argued</w:t>
      </w:r>
      <w:r w:rsidRPr="006433C0">
        <w:t xml:space="preserve"> </w:t>
      </w:r>
      <w:r w:rsidRPr="006433C0">
        <w:lastRenderedPageBreak/>
        <w:t>that the Vopak BLs merely functioned as acknowledgements of the receipt of the bunkers</w:t>
      </w:r>
      <w:r>
        <w:t>.</w:t>
      </w:r>
      <w:r>
        <w:rPr>
          <w:rStyle w:val="FootnoteReference"/>
        </w:rPr>
        <w:footnoteReference w:id="5"/>
      </w:r>
    </w:p>
    <w:p w14:paraId="3A2D3A5A" w14:textId="77777777" w:rsidR="00EC0A4B" w:rsidRDefault="00EC0A4B" w:rsidP="003030CD">
      <w:pPr>
        <w:pStyle w:val="Heading2"/>
        <w:widowControl w:val="0"/>
        <w:numPr>
          <w:ilvl w:val="0"/>
          <w:numId w:val="0"/>
        </w:numPr>
      </w:pPr>
    </w:p>
    <w:p w14:paraId="109314B6" w14:textId="6923D4C3" w:rsidR="003C2392" w:rsidRDefault="00580B1B" w:rsidP="003030CD">
      <w:pPr>
        <w:pStyle w:val="Heading2"/>
        <w:widowControl w:val="0"/>
        <w:numPr>
          <w:ilvl w:val="0"/>
          <w:numId w:val="0"/>
        </w:numPr>
      </w:pPr>
      <w:r>
        <w:t>T</w:t>
      </w:r>
      <w:r w:rsidR="004874B2">
        <w:t xml:space="preserve">he </w:t>
      </w:r>
      <w:r w:rsidR="005F0E7D">
        <w:t>HC</w:t>
      </w:r>
      <w:r w:rsidR="008D5F94">
        <w:t xml:space="preserve"> </w:t>
      </w:r>
      <w:r w:rsidR="004874B2">
        <w:t>acknowledged that</w:t>
      </w:r>
      <w:r w:rsidR="00E851DB" w:rsidRPr="00E851DB">
        <w:t xml:space="preserve"> </w:t>
      </w:r>
      <w:r w:rsidR="00E851DB">
        <w:t>the Vopak BLs served none of the traditional functions of a bill of lading. It also noted that</w:t>
      </w:r>
      <w:r w:rsidR="00C51D42" w:rsidRPr="00C51D42">
        <w:t xml:space="preserve"> </w:t>
      </w:r>
      <w:r w:rsidR="00C51D42">
        <w:t>the Vopak BLs had several unusual features.</w:t>
      </w:r>
      <w:r w:rsidR="004874B2">
        <w:t xml:space="preserve"> </w:t>
      </w:r>
      <w:r w:rsidR="00707BB5">
        <w:t xml:space="preserve">For instance, </w:t>
      </w:r>
      <w:r w:rsidR="00EF66A2">
        <w:t>t</w:t>
      </w:r>
      <w:r>
        <w:t xml:space="preserve">here was no express port of discharge stated in the Vopak BL. While typical bills of lading would state the specific destination the bunkers would unload at, the Vopak BL merely stated that the goods were “bound for bunkers for ocean going vessels”. </w:t>
      </w:r>
    </w:p>
    <w:p w14:paraId="18AAAF71" w14:textId="77777777" w:rsidR="003C2392" w:rsidRDefault="003C2392" w:rsidP="003030CD">
      <w:pPr>
        <w:pStyle w:val="Heading2"/>
        <w:widowControl w:val="0"/>
        <w:numPr>
          <w:ilvl w:val="0"/>
          <w:numId w:val="0"/>
        </w:numPr>
      </w:pPr>
    </w:p>
    <w:p w14:paraId="6840D5EF" w14:textId="1751209C" w:rsidR="00A850FE" w:rsidRDefault="00E54ECF" w:rsidP="003030CD">
      <w:pPr>
        <w:pStyle w:val="Heading2"/>
        <w:widowControl w:val="0"/>
        <w:numPr>
          <w:ilvl w:val="0"/>
          <w:numId w:val="0"/>
        </w:numPr>
      </w:pPr>
      <w:r>
        <w:t>N</w:t>
      </w:r>
      <w:r w:rsidR="00CB6563">
        <w:t>onetheless</w:t>
      </w:r>
      <w:r>
        <w:t>, the HC</w:t>
      </w:r>
      <w:r w:rsidR="00A71C5E">
        <w:t xml:space="preserve"> </w:t>
      </w:r>
      <w:r w:rsidR="0024178F">
        <w:t>held that the Vopak BLs had contractual force and functioned as typical bills of lading</w:t>
      </w:r>
      <w:r w:rsidR="00F0090F">
        <w:t xml:space="preserve">. </w:t>
      </w:r>
      <w:r w:rsidR="000703DA">
        <w:t xml:space="preserve">In doing so, it </w:t>
      </w:r>
      <w:r w:rsidR="000703DA" w:rsidRPr="000703DA">
        <w:t xml:space="preserve">dismissed the </w:t>
      </w:r>
      <w:r w:rsidR="00742DF9">
        <w:t>Charterers’</w:t>
      </w:r>
      <w:r w:rsidR="000703DA" w:rsidRPr="000703DA">
        <w:t xml:space="preserve"> counterclaims for wrongful arrest.</w:t>
      </w:r>
      <w:r w:rsidR="003C2392">
        <w:t xml:space="preserve"> </w:t>
      </w:r>
      <w:r w:rsidR="000D793F">
        <w:t xml:space="preserve">The HC gave four main reasons for its </w:t>
      </w:r>
      <w:r w:rsidR="00895193">
        <w:t>holding</w:t>
      </w:r>
      <w:r w:rsidR="00F76234">
        <w:t>:</w:t>
      </w:r>
      <w:r w:rsidR="00F0090F">
        <w:t xml:space="preserve"> </w:t>
      </w:r>
    </w:p>
    <w:p w14:paraId="42F5E9CD" w14:textId="603219F1" w:rsidR="00F0090F" w:rsidRDefault="00F0090F" w:rsidP="003030CD">
      <w:pPr>
        <w:pStyle w:val="ListParagraph"/>
        <w:widowControl w:val="0"/>
        <w:numPr>
          <w:ilvl w:val="0"/>
          <w:numId w:val="8"/>
        </w:numPr>
        <w:ind w:left="1134" w:hanging="567"/>
      </w:pPr>
      <w:r>
        <w:t>The phrase “bunkers for ocean going vessels” in the Vopak BLs was not void for uncertaint</w:t>
      </w:r>
      <w:r w:rsidR="00A279BE">
        <w:t>y. This is because the p</w:t>
      </w:r>
      <w:r w:rsidR="00FF01B0">
        <w:t xml:space="preserve">hrase referred to ocean-going vessels in or around the port of Singapore. </w:t>
      </w:r>
    </w:p>
    <w:p w14:paraId="6AD962E9" w14:textId="50B94916" w:rsidR="00FF01B0" w:rsidRDefault="00FF01B0" w:rsidP="003030CD">
      <w:pPr>
        <w:pStyle w:val="ListParagraph"/>
        <w:widowControl w:val="0"/>
        <w:numPr>
          <w:ilvl w:val="0"/>
          <w:numId w:val="8"/>
        </w:numPr>
        <w:ind w:left="1134" w:hanging="567"/>
      </w:pPr>
      <w:r>
        <w:t>The lack of a</w:t>
      </w:r>
      <w:r w:rsidR="00ED57FE">
        <w:t>n antecedent</w:t>
      </w:r>
      <w:r>
        <w:t xml:space="preserve"> contract of carriage </w:t>
      </w:r>
      <w:r w:rsidR="00A279BE">
        <w:t xml:space="preserve">between </w:t>
      </w:r>
      <w:r w:rsidR="003338D4">
        <w:t xml:space="preserve">the Seller </w:t>
      </w:r>
      <w:r w:rsidR="00A279BE">
        <w:t>and the Charterers did not hinder the possibility of the Vopak BLs having contractual force</w:t>
      </w:r>
      <w:r w:rsidR="00AE5150">
        <w:t xml:space="preserve">, as </w:t>
      </w:r>
      <w:r w:rsidR="009E5765">
        <w:t xml:space="preserve">the Vopak BLs </w:t>
      </w:r>
      <w:r w:rsidR="00AE5150">
        <w:t>could</w:t>
      </w:r>
      <w:r w:rsidR="009E5765">
        <w:t xml:space="preserve"> be the contract of carriage. </w:t>
      </w:r>
    </w:p>
    <w:p w14:paraId="53AD3A37" w14:textId="319D47AD" w:rsidR="009E5765" w:rsidRDefault="00F303BC" w:rsidP="003030CD">
      <w:pPr>
        <w:pStyle w:val="ListParagraph"/>
        <w:widowControl w:val="0"/>
        <w:numPr>
          <w:ilvl w:val="0"/>
          <w:numId w:val="8"/>
        </w:numPr>
        <w:ind w:left="1134" w:hanging="567"/>
      </w:pPr>
      <w:r>
        <w:t xml:space="preserve">There was no inconsistency between the contemplation of multiple deliveries of sub-parcels to different vessels and the issuance of only one set of Vopak BLs covering the entering parcel. </w:t>
      </w:r>
    </w:p>
    <w:p w14:paraId="79D384F2" w14:textId="65361922" w:rsidR="00F303BC" w:rsidRDefault="00C047A2" w:rsidP="003030CD">
      <w:pPr>
        <w:pStyle w:val="ListParagraph"/>
        <w:widowControl w:val="0"/>
        <w:numPr>
          <w:ilvl w:val="0"/>
          <w:numId w:val="8"/>
        </w:numPr>
        <w:ind w:left="1134" w:hanging="567"/>
      </w:pPr>
      <w:r>
        <w:t>It was no defence for the Charterers to claim that it was impossible for them to comply with their obligations under the Vopak BLs without breaching their obligations to the Buyers</w:t>
      </w:r>
      <w:r w:rsidR="00717039">
        <w:t>, and vice versa</w:t>
      </w:r>
      <w:r>
        <w:t xml:space="preserve">. </w:t>
      </w:r>
    </w:p>
    <w:p w14:paraId="11A87B73" w14:textId="77777777" w:rsidR="00662D40" w:rsidRPr="00662D40" w:rsidRDefault="00662D40" w:rsidP="003030CD">
      <w:pPr>
        <w:widowControl w:val="0"/>
      </w:pPr>
    </w:p>
    <w:p w14:paraId="03F81725" w14:textId="57925331" w:rsidR="00C01743" w:rsidRPr="00053E33" w:rsidRDefault="00C01743" w:rsidP="003030CD">
      <w:pPr>
        <w:pStyle w:val="Heading1"/>
        <w:widowControl w:val="0"/>
        <w:ind w:left="567" w:hanging="567"/>
      </w:pPr>
      <w:r w:rsidRPr="00053E33">
        <w:t>Issues on Appeal</w:t>
      </w:r>
    </w:p>
    <w:p w14:paraId="36244231" w14:textId="7AB1DCC2" w:rsidR="00B551DA" w:rsidRDefault="00BA561A" w:rsidP="003030CD">
      <w:pPr>
        <w:pStyle w:val="Heading2"/>
        <w:widowControl w:val="0"/>
        <w:numPr>
          <w:ilvl w:val="0"/>
          <w:numId w:val="0"/>
        </w:numPr>
      </w:pPr>
      <w:r>
        <w:t xml:space="preserve">On appeal, the </w:t>
      </w:r>
      <w:r w:rsidRPr="00AF2233">
        <w:t>Charterers</w:t>
      </w:r>
      <w:r>
        <w:t xml:space="preserve"> </w:t>
      </w:r>
      <w:r w:rsidR="006E60B9">
        <w:t>argued</w:t>
      </w:r>
      <w:r w:rsidR="009F3CC1">
        <w:t xml:space="preserve"> that the </w:t>
      </w:r>
      <w:r w:rsidR="00661F5E">
        <w:t>HC</w:t>
      </w:r>
      <w:r w:rsidR="009F3CC1">
        <w:t xml:space="preserve"> erred in finding that the Vopak BLs were documents of title and contractual documents. </w:t>
      </w:r>
      <w:r w:rsidR="008F490B">
        <w:t>They highlighted the following</w:t>
      </w:r>
      <w:r w:rsidR="00D52FFF">
        <w:t xml:space="preserve"> five factors</w:t>
      </w:r>
      <w:r w:rsidR="00BD4B44">
        <w:t>:</w:t>
      </w:r>
      <w:r w:rsidR="00D52FFF">
        <w:t xml:space="preserve"> </w:t>
      </w:r>
    </w:p>
    <w:p w14:paraId="402C3434" w14:textId="7C857CAF" w:rsidR="00D52FFF" w:rsidRDefault="00D94BAA" w:rsidP="003030CD">
      <w:pPr>
        <w:pStyle w:val="ListParagraph"/>
        <w:widowControl w:val="0"/>
        <w:numPr>
          <w:ilvl w:val="0"/>
          <w:numId w:val="9"/>
        </w:numPr>
        <w:ind w:left="1134" w:hanging="567"/>
      </w:pPr>
      <w:r>
        <w:t>The use of the phrase “bunkers for ocean going vessels” in the Vopak BLs</w:t>
      </w:r>
      <w:r w:rsidR="009260CD">
        <w:t>;</w:t>
      </w:r>
    </w:p>
    <w:p w14:paraId="280D530A" w14:textId="7547692C" w:rsidR="00D94BAA" w:rsidRDefault="00D94BAA" w:rsidP="003030CD">
      <w:pPr>
        <w:pStyle w:val="ListParagraph"/>
        <w:widowControl w:val="0"/>
        <w:numPr>
          <w:ilvl w:val="0"/>
          <w:numId w:val="9"/>
        </w:numPr>
        <w:ind w:left="1134" w:hanging="567"/>
      </w:pPr>
      <w:r>
        <w:t>The contemplation of multiple deliveries under the terms of the Vopak BLs</w:t>
      </w:r>
      <w:r w:rsidR="009260CD">
        <w:t>;</w:t>
      </w:r>
    </w:p>
    <w:p w14:paraId="4F9AC14F" w14:textId="1C09024D" w:rsidR="00D94BAA" w:rsidRDefault="00D94BAA" w:rsidP="003030CD">
      <w:pPr>
        <w:pStyle w:val="ListParagraph"/>
        <w:widowControl w:val="0"/>
        <w:numPr>
          <w:ilvl w:val="0"/>
          <w:numId w:val="9"/>
        </w:numPr>
        <w:ind w:left="1134" w:hanging="567"/>
      </w:pPr>
      <w:r>
        <w:t>The 30-day credit period under the terms of the sale contracts</w:t>
      </w:r>
      <w:r w:rsidR="009260CD">
        <w:t>;</w:t>
      </w:r>
      <w:r>
        <w:t xml:space="preserve"> </w:t>
      </w:r>
    </w:p>
    <w:p w14:paraId="2D3355E4" w14:textId="67D0EF5C" w:rsidR="00D94BAA" w:rsidRDefault="00D94BAA" w:rsidP="003030CD">
      <w:pPr>
        <w:pStyle w:val="ListParagraph"/>
        <w:widowControl w:val="0"/>
        <w:numPr>
          <w:ilvl w:val="0"/>
          <w:numId w:val="9"/>
        </w:numPr>
        <w:ind w:left="1134" w:hanging="567"/>
      </w:pPr>
      <w:r>
        <w:t>The passing of title and possession under the terms of the sale contracts</w:t>
      </w:r>
      <w:r w:rsidR="009260CD">
        <w:t>; and</w:t>
      </w:r>
    </w:p>
    <w:p w14:paraId="557B86AB" w14:textId="73EA3304" w:rsidR="00D94BAA" w:rsidRDefault="00D94BAA" w:rsidP="003030CD">
      <w:pPr>
        <w:pStyle w:val="ListParagraph"/>
        <w:widowControl w:val="0"/>
        <w:numPr>
          <w:ilvl w:val="0"/>
          <w:numId w:val="9"/>
        </w:numPr>
        <w:ind w:left="1134" w:hanging="567"/>
      </w:pPr>
      <w:r>
        <w:t>The absence of any reference in the sale contracts to bills of lading</w:t>
      </w:r>
      <w:r w:rsidR="00BF6E83">
        <w:t>.</w:t>
      </w:r>
      <w:r>
        <w:t xml:space="preserve"> </w:t>
      </w:r>
    </w:p>
    <w:p w14:paraId="7AB417E3" w14:textId="302C43C3" w:rsidR="00ED53F0" w:rsidRDefault="00ED53F0" w:rsidP="003030CD">
      <w:pPr>
        <w:widowControl w:val="0"/>
      </w:pPr>
    </w:p>
    <w:p w14:paraId="2DB90700" w14:textId="77777777" w:rsidR="00E43332" w:rsidRDefault="00B94325" w:rsidP="003030CD">
      <w:pPr>
        <w:pStyle w:val="Heading2"/>
        <w:widowControl w:val="0"/>
        <w:numPr>
          <w:ilvl w:val="0"/>
          <w:numId w:val="0"/>
        </w:numPr>
      </w:pPr>
      <w:r w:rsidRPr="00B94325">
        <w:t xml:space="preserve">The </w:t>
      </w:r>
      <w:r>
        <w:t>Seller argued, in turn,</w:t>
      </w:r>
      <w:r w:rsidRPr="00B94325">
        <w:t xml:space="preserve"> that the </w:t>
      </w:r>
      <w:r>
        <w:t>HC</w:t>
      </w:r>
      <w:r w:rsidRPr="00B94325">
        <w:t xml:space="preserve"> was correct in finding that the Vopak BLs gave rise to contracts of carriage and constitute</w:t>
      </w:r>
      <w:r w:rsidR="00B937FE">
        <w:t>d</w:t>
      </w:r>
      <w:r w:rsidRPr="00B94325">
        <w:t xml:space="preserve"> documents of title. Accordingly, </w:t>
      </w:r>
      <w:r w:rsidR="00D86B41">
        <w:t xml:space="preserve">it argued that </w:t>
      </w:r>
      <w:r w:rsidRPr="00B94325">
        <w:t xml:space="preserve">the </w:t>
      </w:r>
      <w:r w:rsidR="00BD5C90" w:rsidRPr="00AF2233">
        <w:t>Charterers</w:t>
      </w:r>
      <w:r w:rsidRPr="00B94325">
        <w:t xml:space="preserve"> were bound to deliver the bunkers only upon presentation of an original Vopak BL (</w:t>
      </w:r>
      <w:r w:rsidR="004651AA" w:rsidRPr="00B94325">
        <w:t xml:space="preserve">the </w:t>
      </w:r>
      <w:r w:rsidRPr="00B94325">
        <w:t>“</w:t>
      </w:r>
      <w:r w:rsidRPr="00046062">
        <w:rPr>
          <w:b/>
          <w:bCs/>
        </w:rPr>
        <w:t>presentation rule</w:t>
      </w:r>
      <w:r w:rsidRPr="00B94325">
        <w:t xml:space="preserve">”). </w:t>
      </w:r>
    </w:p>
    <w:p w14:paraId="0BDC3331" w14:textId="77777777" w:rsidR="00E43332" w:rsidRDefault="00E43332" w:rsidP="003030CD">
      <w:pPr>
        <w:pStyle w:val="Heading2"/>
        <w:widowControl w:val="0"/>
        <w:numPr>
          <w:ilvl w:val="0"/>
          <w:numId w:val="0"/>
        </w:numPr>
      </w:pPr>
    </w:p>
    <w:p w14:paraId="2B1D3C08" w14:textId="54A4549C" w:rsidR="00AE646D" w:rsidRPr="00AE646D" w:rsidRDefault="00EE5089" w:rsidP="003030CD">
      <w:pPr>
        <w:widowControl w:val="0"/>
      </w:pPr>
      <w:r>
        <w:t xml:space="preserve">Ultimately, the CA answered </w:t>
      </w:r>
      <w:r w:rsidR="00865BEC">
        <w:t xml:space="preserve">the question of </w:t>
      </w:r>
      <w:r w:rsidR="009B62C6" w:rsidRPr="00CE1720">
        <w:t>whether the Vopak BLs had been intended to operate as documents of title</w:t>
      </w:r>
      <w:r w:rsidR="00D32DF9" w:rsidRPr="00D32DF9">
        <w:t xml:space="preserve"> </w:t>
      </w:r>
      <w:r w:rsidR="00D32DF9">
        <w:t>in the negative.</w:t>
      </w:r>
      <w:r w:rsidR="002B18FF">
        <w:t xml:space="preserve"> </w:t>
      </w:r>
      <w:r w:rsidR="00C55341">
        <w:t xml:space="preserve">In answering the question of whether the Vopak BLs had been intended to operate as documents of title, the CA </w:t>
      </w:r>
      <w:r w:rsidR="005C298F">
        <w:t xml:space="preserve">first laid out the relevant contractual principles, </w:t>
      </w:r>
      <w:r w:rsidR="00AF2233">
        <w:t xml:space="preserve">before </w:t>
      </w:r>
      <w:r w:rsidR="005C298F">
        <w:t>look</w:t>
      </w:r>
      <w:r w:rsidR="00AF2233">
        <w:t>ing</w:t>
      </w:r>
      <w:r w:rsidR="005C298F">
        <w:t xml:space="preserve"> at the underlying sale arrangement which included</w:t>
      </w:r>
      <w:r w:rsidR="003339C4">
        <w:t xml:space="preserve"> </w:t>
      </w:r>
      <w:r w:rsidR="00FC38E9">
        <w:t>an analysis of the commercial arrangement</w:t>
      </w:r>
      <w:r w:rsidR="005C298F">
        <w:t xml:space="preserve"> </w:t>
      </w:r>
      <w:r w:rsidR="00FC38E9">
        <w:t>and the</w:t>
      </w:r>
      <w:r w:rsidR="003339C4">
        <w:t xml:space="preserve"> terms of the Vopak BL</w:t>
      </w:r>
      <w:r w:rsidR="00FC38E9">
        <w:t xml:space="preserve">. Lastly, the CA </w:t>
      </w:r>
      <w:r w:rsidR="00956276">
        <w:t>considered</w:t>
      </w:r>
      <w:r w:rsidR="00366322">
        <w:t xml:space="preserve"> </w:t>
      </w:r>
      <w:r w:rsidR="00FC38E9">
        <w:t xml:space="preserve">the risk allocation </w:t>
      </w:r>
      <w:r w:rsidR="003D37E6">
        <w:t>between the parties</w:t>
      </w:r>
      <w:r w:rsidR="000327A6">
        <w:t xml:space="preserve">, where the 30 days’ credit was of utmost importance. </w:t>
      </w:r>
    </w:p>
    <w:p w14:paraId="1E0BCDAE" w14:textId="4EB6E7AD" w:rsidR="00FD192A" w:rsidRDefault="00FD192A" w:rsidP="003030CD">
      <w:pPr>
        <w:widowControl w:val="0"/>
      </w:pPr>
    </w:p>
    <w:p w14:paraId="59E2A639" w14:textId="79A22DBE" w:rsidR="007F1403" w:rsidRPr="008C4F1E" w:rsidRDefault="00C74D75" w:rsidP="003030CD">
      <w:pPr>
        <w:pStyle w:val="Heading3"/>
        <w:widowControl w:val="0"/>
      </w:pPr>
      <w:r w:rsidRPr="008C4F1E">
        <w:t xml:space="preserve"> </w:t>
      </w:r>
      <w:r w:rsidR="00D60A73" w:rsidRPr="008C4F1E">
        <w:t xml:space="preserve">The application of contractual principles in </w:t>
      </w:r>
      <w:r w:rsidR="00F537BF" w:rsidRPr="008C4F1E">
        <w:t>determining the nature of the Vopak BLs</w:t>
      </w:r>
    </w:p>
    <w:p w14:paraId="2F358E6B" w14:textId="41A4E0EF" w:rsidR="002736AA" w:rsidRDefault="00524656" w:rsidP="003030CD">
      <w:pPr>
        <w:widowControl w:val="0"/>
      </w:pPr>
      <w:r>
        <w:t xml:space="preserve">The </w:t>
      </w:r>
      <w:r w:rsidR="003E137C">
        <w:t xml:space="preserve">central question was </w:t>
      </w:r>
      <w:r w:rsidR="003E137C" w:rsidRPr="00524656">
        <w:t>the precise nature of the Vopak BL</w:t>
      </w:r>
      <w:r w:rsidR="003E137C">
        <w:t xml:space="preserve">s. </w:t>
      </w:r>
      <w:r w:rsidR="008E5FA6">
        <w:t xml:space="preserve">To determine this, the CA had to ascertain </w:t>
      </w:r>
      <w:r w:rsidR="002075C5">
        <w:t>the Seller’s</w:t>
      </w:r>
      <w:r w:rsidR="00963096">
        <w:t xml:space="preserve"> and t</w:t>
      </w:r>
      <w:r w:rsidR="00747A72">
        <w:t>he Charterers’ intentions behind the issuance of the Vopak BLs</w:t>
      </w:r>
      <w:r w:rsidR="00562209">
        <w:t>:</w:t>
      </w:r>
      <w:r w:rsidR="00747A72">
        <w:t xml:space="preserve"> specifically, whether they had intended for the Vopak BLs to have contractual force and to operate </w:t>
      </w:r>
      <w:r w:rsidR="00747A72">
        <w:lastRenderedPageBreak/>
        <w:t xml:space="preserve">as documents of title. This </w:t>
      </w:r>
      <w:r w:rsidR="007F1403">
        <w:t xml:space="preserve">inquiry went towards figuring out the </w:t>
      </w:r>
      <w:r w:rsidR="000B0CAA">
        <w:t xml:space="preserve">very </w:t>
      </w:r>
      <w:r w:rsidR="007F1403" w:rsidRPr="00644BA7">
        <w:rPr>
          <w:i/>
        </w:rPr>
        <w:t>existence</w:t>
      </w:r>
      <w:r w:rsidR="007F1403">
        <w:t xml:space="preserve"> of a contract</w:t>
      </w:r>
      <w:r w:rsidR="00F537BF">
        <w:t xml:space="preserve">, rather than </w:t>
      </w:r>
      <w:r w:rsidR="008226C1">
        <w:t xml:space="preserve">simply </w:t>
      </w:r>
      <w:r w:rsidR="00F537BF">
        <w:t>interpreting a</w:t>
      </w:r>
      <w:r w:rsidR="00A16102">
        <w:t>n existing</w:t>
      </w:r>
      <w:r w:rsidR="00F537BF">
        <w:t xml:space="preserve"> contract. </w:t>
      </w:r>
    </w:p>
    <w:p w14:paraId="494304BD" w14:textId="77777777" w:rsidR="002736AA" w:rsidRDefault="002736AA" w:rsidP="003030CD">
      <w:pPr>
        <w:widowControl w:val="0"/>
      </w:pPr>
    </w:p>
    <w:p w14:paraId="4BB20905" w14:textId="14043D4C" w:rsidR="00ED57FE" w:rsidRDefault="006B38B1" w:rsidP="003030CD">
      <w:pPr>
        <w:widowControl w:val="0"/>
      </w:pPr>
      <w:r>
        <w:t>This distinction was important to remember</w:t>
      </w:r>
      <w:r w:rsidR="00ED57FE">
        <w:t xml:space="preserve"> given the</w:t>
      </w:r>
      <w:r w:rsidRPr="006B38B1">
        <w:t xml:space="preserve"> significant differences between the approaches that are employed in the</w:t>
      </w:r>
      <w:r w:rsidR="00F5420F">
        <w:t>se</w:t>
      </w:r>
      <w:r w:rsidRPr="006B38B1">
        <w:t xml:space="preserve"> two situations.</w:t>
      </w:r>
      <w:r w:rsidR="002736AA">
        <w:t xml:space="preserve"> </w:t>
      </w:r>
      <w:r w:rsidR="002736AA" w:rsidRPr="002736AA">
        <w:t xml:space="preserve">In cases involving interpretation, the </w:t>
      </w:r>
      <w:proofErr w:type="spellStart"/>
      <w:r w:rsidR="002736AA" w:rsidRPr="002736AA">
        <w:t>parol</w:t>
      </w:r>
      <w:proofErr w:type="spellEnd"/>
      <w:r w:rsidR="002736AA" w:rsidRPr="002736AA">
        <w:t xml:space="preserve"> evidence rule and the principles governing the admission of extrinsic evidence set out in </w:t>
      </w:r>
      <w:r w:rsidR="002736AA" w:rsidRPr="00644BA7">
        <w:rPr>
          <w:i/>
          <w:iCs/>
        </w:rPr>
        <w:t>Zurich Insurance (Singapore) Pte Ltd v B-Gold Interior Design &amp; Construction Pte Ltd</w:t>
      </w:r>
      <w:r w:rsidR="002736AA" w:rsidRPr="002736AA">
        <w:t xml:space="preserve"> [2008] 3 SLR(R) 1029 apply. </w:t>
      </w:r>
    </w:p>
    <w:p w14:paraId="4ADE629A" w14:textId="77777777" w:rsidR="00ED57FE" w:rsidRDefault="00ED57FE" w:rsidP="003030CD">
      <w:pPr>
        <w:widowControl w:val="0"/>
      </w:pPr>
    </w:p>
    <w:p w14:paraId="357AB779" w14:textId="4647DA0B" w:rsidR="00323F4C" w:rsidRDefault="002736AA" w:rsidP="003030CD">
      <w:pPr>
        <w:pStyle w:val="Heading2"/>
        <w:widowControl w:val="0"/>
        <w:numPr>
          <w:ilvl w:val="0"/>
          <w:numId w:val="0"/>
        </w:numPr>
      </w:pPr>
      <w:r w:rsidRPr="002736AA">
        <w:t>In cases involving contract formation, however, the approach to background is wider as there is no restriction on the evidence which the court may consider.</w:t>
      </w:r>
      <w:r w:rsidR="00ED57FE">
        <w:t xml:space="preserve"> T</w:t>
      </w:r>
      <w:r w:rsidR="001D40CC">
        <w:t xml:space="preserve">he appropriate approach </w:t>
      </w:r>
      <w:r w:rsidR="00E32936">
        <w:t xml:space="preserve">is </w:t>
      </w:r>
      <w:r w:rsidR="00502CAF">
        <w:t xml:space="preserve">that </w:t>
      </w:r>
      <w:r w:rsidR="00E32936">
        <w:t xml:space="preserve">stated in </w:t>
      </w:r>
      <w:proofErr w:type="spellStart"/>
      <w:r w:rsidR="00E32936" w:rsidRPr="00E32936">
        <w:rPr>
          <w:i/>
          <w:iCs/>
        </w:rPr>
        <w:t>Midlink</w:t>
      </w:r>
      <w:proofErr w:type="spellEnd"/>
      <w:r w:rsidR="00E32936" w:rsidRPr="00E32936">
        <w:rPr>
          <w:i/>
          <w:iCs/>
        </w:rPr>
        <w:t xml:space="preserve"> Development Pte Ltd v The Stansfield Group Pte Ltd</w:t>
      </w:r>
      <w:r w:rsidR="00E32936">
        <w:t xml:space="preserve"> [2004] 4 SLR(R) 258</w:t>
      </w:r>
      <w:r w:rsidR="00777669">
        <w:t>: “whether, in the established matrix of circumstances, the conduct of the parties, objectively ascertained, supports the existence of a contract.”</w:t>
      </w:r>
      <w:r w:rsidR="00CA4595">
        <w:t xml:space="preserve"> This is a less restrictive approach than that required for </w:t>
      </w:r>
      <w:r w:rsidR="00D30FB0">
        <w:t>contract interpretation cases</w:t>
      </w:r>
      <w:r w:rsidR="0034454C">
        <w:t xml:space="preserve">, as the court may </w:t>
      </w:r>
      <w:r w:rsidR="00A11BDC">
        <w:t>consider</w:t>
      </w:r>
      <w:r w:rsidR="0034454C" w:rsidRPr="0034454C">
        <w:t xml:space="preserve"> all the relevant circumstances of the case to draw the appropriate inferences</w:t>
      </w:r>
      <w:r w:rsidR="00D30FB0">
        <w:t xml:space="preserve">. </w:t>
      </w:r>
      <w:r w:rsidR="002075C5">
        <w:t>Furthermore, i</w:t>
      </w:r>
      <w:r w:rsidR="002075C5" w:rsidRPr="002075C5">
        <w:t>n determining objectively whether a reasonable person in the position of the parties would have intended the Vopak BLs to have contractual force and to operate as documents of title, the court may have regard not only to the perspectives of the shipper and the carrier (i</w:t>
      </w:r>
      <w:r w:rsidR="005E2AEE">
        <w:t>.</w:t>
      </w:r>
      <w:r w:rsidR="002075C5" w:rsidRPr="002075C5">
        <w:t>e</w:t>
      </w:r>
      <w:r w:rsidR="005E2AEE">
        <w:t>.</w:t>
      </w:r>
      <w:r w:rsidR="002075C5" w:rsidRPr="002075C5">
        <w:t xml:space="preserve"> the </w:t>
      </w:r>
      <w:r w:rsidR="00DA167C">
        <w:t>Seller</w:t>
      </w:r>
      <w:r w:rsidR="002075C5" w:rsidRPr="002075C5">
        <w:t xml:space="preserve"> and the </w:t>
      </w:r>
      <w:r w:rsidR="00DA167C">
        <w:t>Charterers</w:t>
      </w:r>
      <w:r w:rsidR="002075C5" w:rsidRPr="002075C5">
        <w:t>), but also to the perspectives of other parties who were generally known to use the Vopak BLs.</w:t>
      </w:r>
    </w:p>
    <w:p w14:paraId="18A975E1" w14:textId="77777777" w:rsidR="001B0A17" w:rsidRDefault="001B0A17" w:rsidP="003030CD">
      <w:pPr>
        <w:pStyle w:val="Heading2"/>
        <w:widowControl w:val="0"/>
        <w:numPr>
          <w:ilvl w:val="0"/>
          <w:numId w:val="0"/>
        </w:numPr>
      </w:pPr>
    </w:p>
    <w:p w14:paraId="2C9F333E" w14:textId="77025ABA" w:rsidR="00323F4C" w:rsidRPr="00323F4C" w:rsidRDefault="006F68AD" w:rsidP="003030CD">
      <w:pPr>
        <w:pStyle w:val="Heading2"/>
        <w:widowControl w:val="0"/>
        <w:numPr>
          <w:ilvl w:val="0"/>
          <w:numId w:val="0"/>
        </w:numPr>
      </w:pPr>
      <w:r>
        <w:t xml:space="preserve">Accordingly, the CA </w:t>
      </w:r>
      <w:r w:rsidR="00726212">
        <w:t xml:space="preserve">considered the underlying sale arrangement of the bunkers and the terms of the Vopak BLs in </w:t>
      </w:r>
      <w:r w:rsidR="00CE417E">
        <w:t xml:space="preserve">determining whether the Vopak BLs had been intended to operate as </w:t>
      </w:r>
      <w:r w:rsidR="004265CC">
        <w:t xml:space="preserve">contracts </w:t>
      </w:r>
      <w:r w:rsidR="00347E04">
        <w:t xml:space="preserve">of carriage and/or </w:t>
      </w:r>
      <w:r w:rsidR="00CE417E">
        <w:t xml:space="preserve">documents of title. </w:t>
      </w:r>
    </w:p>
    <w:p w14:paraId="566CD639" w14:textId="77777777" w:rsidR="00135122" w:rsidRPr="00135122" w:rsidRDefault="00135122" w:rsidP="003030CD">
      <w:pPr>
        <w:widowControl w:val="0"/>
      </w:pPr>
    </w:p>
    <w:p w14:paraId="4F83FF42" w14:textId="13EBBEBB" w:rsidR="000327A6" w:rsidRPr="008C4F1E" w:rsidRDefault="00C713E4" w:rsidP="003030CD">
      <w:pPr>
        <w:pStyle w:val="Heading3"/>
        <w:widowControl w:val="0"/>
      </w:pPr>
      <w:r w:rsidRPr="008C4F1E">
        <w:t>The underlying sale arrangements</w:t>
      </w:r>
    </w:p>
    <w:p w14:paraId="0089CFAC" w14:textId="0F9EC9C6" w:rsidR="000327A6" w:rsidRPr="000327A6" w:rsidRDefault="00D15C29" w:rsidP="003030CD">
      <w:pPr>
        <w:pStyle w:val="Heading4"/>
        <w:widowControl w:val="0"/>
      </w:pPr>
      <w:r>
        <w:t xml:space="preserve">The sale contracts and surrounding commercial arrangements </w:t>
      </w:r>
    </w:p>
    <w:p w14:paraId="045C57C3" w14:textId="43CD53DE" w:rsidR="00366078" w:rsidRDefault="001A3206" w:rsidP="003030CD">
      <w:pPr>
        <w:pStyle w:val="Heading2"/>
        <w:widowControl w:val="0"/>
        <w:numPr>
          <w:ilvl w:val="0"/>
          <w:numId w:val="0"/>
        </w:numPr>
      </w:pPr>
      <w:r>
        <w:t>T</w:t>
      </w:r>
      <w:r w:rsidR="006628C6">
        <w:t>he</w:t>
      </w:r>
      <w:r w:rsidR="00502CAF">
        <w:t xml:space="preserve">se </w:t>
      </w:r>
      <w:r>
        <w:t>were</w:t>
      </w:r>
      <w:r w:rsidR="004C6F8C">
        <w:t xml:space="preserve"> the</w:t>
      </w:r>
      <w:r w:rsidR="006628C6">
        <w:t xml:space="preserve"> salient features of the sale contracts and the surrounding commercial arrangements</w:t>
      </w:r>
      <w:r w:rsidR="007038EC">
        <w:t>:</w:t>
      </w:r>
    </w:p>
    <w:p w14:paraId="10150C73" w14:textId="76292BE6" w:rsidR="00366078" w:rsidRDefault="00E73B1F" w:rsidP="003030CD">
      <w:pPr>
        <w:pStyle w:val="Heading2"/>
        <w:widowControl w:val="0"/>
        <w:numPr>
          <w:ilvl w:val="0"/>
          <w:numId w:val="10"/>
        </w:numPr>
        <w:tabs>
          <w:tab w:val="clear" w:pos="0"/>
        </w:tabs>
        <w:ind w:left="1134" w:hanging="567"/>
      </w:pPr>
      <w:r>
        <w:t>Under</w:t>
      </w:r>
      <w:r w:rsidR="008627F6">
        <w:t xml:space="preserve"> the </w:t>
      </w:r>
      <w:r w:rsidR="004D204D">
        <w:t>GTC</w:t>
      </w:r>
      <w:r w:rsidR="008627F6">
        <w:t xml:space="preserve">, </w:t>
      </w:r>
      <w:r w:rsidR="000D2855">
        <w:t xml:space="preserve">the Buyers were given a 30-day credit period by </w:t>
      </w:r>
      <w:r w:rsidR="003B0530">
        <w:t>the Seller</w:t>
      </w:r>
      <w:r w:rsidR="00896F53">
        <w:t>;</w:t>
      </w:r>
      <w:r w:rsidR="00603C50">
        <w:t xml:space="preserve"> </w:t>
      </w:r>
    </w:p>
    <w:p w14:paraId="0F0784AA" w14:textId="1358DF93" w:rsidR="00366078" w:rsidRDefault="00366078" w:rsidP="003030CD">
      <w:pPr>
        <w:pStyle w:val="ListParagraph"/>
        <w:widowControl w:val="0"/>
        <w:numPr>
          <w:ilvl w:val="0"/>
          <w:numId w:val="10"/>
        </w:numPr>
        <w:ind w:left="1134" w:hanging="567"/>
      </w:pPr>
      <w:r>
        <w:t xml:space="preserve">The payment was required to be made by the Buyers against the presentation of </w:t>
      </w:r>
      <w:r w:rsidR="003B0530">
        <w:t xml:space="preserve">the Seller’s </w:t>
      </w:r>
      <w:r>
        <w:t xml:space="preserve">commercial invoice and the original </w:t>
      </w:r>
      <w:r w:rsidR="00B0300B">
        <w:t>CQ</w:t>
      </w:r>
      <w:r w:rsidR="00896F53">
        <w:t>;</w:t>
      </w:r>
      <w:r w:rsidR="007038EC">
        <w:rPr>
          <w:rStyle w:val="FootnoteReference"/>
        </w:rPr>
        <w:footnoteReference w:id="6"/>
      </w:r>
      <w:r>
        <w:t xml:space="preserve"> </w:t>
      </w:r>
    </w:p>
    <w:p w14:paraId="05A653E9" w14:textId="5385CA77" w:rsidR="00366078" w:rsidRDefault="00E73B1F" w:rsidP="003030CD">
      <w:pPr>
        <w:pStyle w:val="ListParagraph"/>
        <w:widowControl w:val="0"/>
        <w:numPr>
          <w:ilvl w:val="0"/>
          <w:numId w:val="10"/>
        </w:numPr>
        <w:ind w:left="1134" w:hanging="567"/>
      </w:pPr>
      <w:r>
        <w:t>Under</w:t>
      </w:r>
      <w:r w:rsidR="00F23A79">
        <w:t xml:space="preserve"> the </w:t>
      </w:r>
      <w:r w:rsidR="00177686">
        <w:t>GTC</w:t>
      </w:r>
      <w:r w:rsidR="00F23A79">
        <w:t>, the</w:t>
      </w:r>
      <w:r w:rsidR="00366078">
        <w:t xml:space="preserve"> title to and possession of the bunkers </w:t>
      </w:r>
      <w:r w:rsidR="00F23A79">
        <w:t>passed to the Buyers upon loading</w:t>
      </w:r>
      <w:r w:rsidR="00896F53">
        <w:t>;</w:t>
      </w:r>
    </w:p>
    <w:p w14:paraId="63A2EAED" w14:textId="4EB51CAF" w:rsidR="00F23A79" w:rsidRDefault="009C1ECF" w:rsidP="003030CD">
      <w:pPr>
        <w:pStyle w:val="ListParagraph"/>
        <w:widowControl w:val="0"/>
        <w:numPr>
          <w:ilvl w:val="0"/>
          <w:numId w:val="10"/>
        </w:numPr>
        <w:ind w:left="1134" w:hanging="567"/>
      </w:pPr>
      <w:r>
        <w:t xml:space="preserve">There </w:t>
      </w:r>
      <w:r w:rsidR="008104AB">
        <w:t xml:space="preserve">was </w:t>
      </w:r>
      <w:r>
        <w:t>a conspicuous absence of any reference to bills of lading in the terms of the sale contract</w:t>
      </w:r>
      <w:r w:rsidR="008360BB">
        <w:t>s</w:t>
      </w:r>
      <w:r w:rsidR="003D3037">
        <w:t xml:space="preserve"> and the GTC</w:t>
      </w:r>
      <w:r w:rsidR="00896F53">
        <w:t>; and</w:t>
      </w:r>
    </w:p>
    <w:p w14:paraId="21AD2FC4" w14:textId="1DC8B2DC" w:rsidR="009C1ECF" w:rsidRDefault="009C1ECF" w:rsidP="003030CD">
      <w:pPr>
        <w:pStyle w:val="ListParagraph"/>
        <w:widowControl w:val="0"/>
        <w:numPr>
          <w:ilvl w:val="0"/>
          <w:numId w:val="10"/>
        </w:numPr>
        <w:ind w:left="1134" w:hanging="567"/>
      </w:pPr>
      <w:r>
        <w:t xml:space="preserve">The </w:t>
      </w:r>
      <w:r w:rsidR="008B2212">
        <w:t xml:space="preserve">commercial arrangement was that following the loading of the bunkers on board the </w:t>
      </w:r>
      <w:r w:rsidR="003327A1">
        <w:t>V</w:t>
      </w:r>
      <w:r w:rsidR="008B2212">
        <w:t xml:space="preserve">essels, it was the Buyers and not </w:t>
      </w:r>
      <w:r w:rsidR="00DB0665">
        <w:t xml:space="preserve">the Seller </w:t>
      </w:r>
      <w:r w:rsidR="008B2212">
        <w:t xml:space="preserve">who would give instructions to the Charterers to deliver the bunkers to ocean-going vessels. </w:t>
      </w:r>
      <w:r w:rsidR="003B0530">
        <w:t>The Seller</w:t>
      </w:r>
      <w:r w:rsidR="007038EC">
        <w:t xml:space="preserve"> was aware that these deliveries would be made shortly after loading, such that by the time the credit period expired, any attempt by </w:t>
      </w:r>
      <w:r w:rsidR="003B0530">
        <w:t xml:space="preserve">the Seller </w:t>
      </w:r>
      <w:r w:rsidR="007038EC">
        <w:t xml:space="preserve">to demand delivery of the bunkers would be futile as the bunkers would by then have been delivered to ocean-going vessels. </w:t>
      </w:r>
    </w:p>
    <w:p w14:paraId="42CD2531" w14:textId="6A10ECEE" w:rsidR="007038EC" w:rsidRDefault="007038EC" w:rsidP="003030CD">
      <w:pPr>
        <w:widowControl w:val="0"/>
      </w:pPr>
    </w:p>
    <w:p w14:paraId="4E7EB7AD" w14:textId="59673DAB" w:rsidR="00B53A74" w:rsidRDefault="00B53A74" w:rsidP="003030CD">
      <w:pPr>
        <w:widowControl w:val="0"/>
      </w:pPr>
      <w:r>
        <w:t>The CA found that in light of these</w:t>
      </w:r>
      <w:r w:rsidRPr="00B53A74">
        <w:t xml:space="preserve"> arrangements, it</w:t>
      </w:r>
      <w:r>
        <w:t xml:space="preserve"> was</w:t>
      </w:r>
      <w:r w:rsidRPr="00B53A74">
        <w:t xml:space="preserve"> no surprise that the </w:t>
      </w:r>
      <w:r>
        <w:t>HC</w:t>
      </w:r>
      <w:r w:rsidRPr="00B53A74">
        <w:t xml:space="preserve"> found that the </w:t>
      </w:r>
      <w:r>
        <w:t>Seller</w:t>
      </w:r>
      <w:r w:rsidRPr="00B53A74">
        <w:t xml:space="preserve"> had no real obligation to transfer the Vopak BLs to the Buyers for payment</w:t>
      </w:r>
      <w:r w:rsidR="006F0464">
        <w:t>, n</w:t>
      </w:r>
      <w:r w:rsidR="00C24C85" w:rsidRPr="00C24C85">
        <w:t xml:space="preserve">or were the Buyers expecting to receive the Vopak BLs </w:t>
      </w:r>
      <w:r w:rsidR="00677EEC">
        <w:t>to</w:t>
      </w:r>
      <w:r w:rsidR="00C24C85" w:rsidRPr="00C24C85">
        <w:t xml:space="preserve"> claim delivery of the bunkers from the </w:t>
      </w:r>
      <w:r w:rsidR="00E96D0C">
        <w:t>Charterers</w:t>
      </w:r>
      <w:r w:rsidR="00C24C85" w:rsidRPr="00C24C85">
        <w:t>.</w:t>
      </w:r>
      <w:r w:rsidR="005D6A3D">
        <w:t xml:space="preserve"> </w:t>
      </w:r>
      <w:r w:rsidR="000C5341" w:rsidRPr="000C5341">
        <w:t xml:space="preserve">This was clear from the fact that the Vopak BLs were not indorsed to the Buyers until after the expiry of the 30-day credit period, sometimes as late as 72 days after such expiry. </w:t>
      </w:r>
      <w:r w:rsidR="000C5341">
        <w:t>It thus followed</w:t>
      </w:r>
      <w:r w:rsidR="000C5341" w:rsidRPr="000C5341">
        <w:t xml:space="preserve"> that the </w:t>
      </w:r>
      <w:r w:rsidR="00791F12">
        <w:t>Seller</w:t>
      </w:r>
      <w:r w:rsidR="000C5341" w:rsidRPr="000C5341">
        <w:t xml:space="preserve"> and the Buyers could not have intended for the Buyers to be able to lawfully deal with the bunkers only upon presentation of an original Vopak BL. Rather, the Buyers could deal with the bunkers as soon as they were loaded on board the Vessels, with payment being made 30 days later. </w:t>
      </w:r>
      <w:r w:rsidR="00E71DEC">
        <w:t>In short</w:t>
      </w:r>
      <w:r w:rsidR="000C5341" w:rsidRPr="000C5341">
        <w:t xml:space="preserve">, the Vopak BLs did not enable the Buyers to take delivery of the bunkers, nor did they restrict the Buyers’ </w:t>
      </w:r>
      <w:r w:rsidR="000C5341" w:rsidRPr="000C5341">
        <w:lastRenderedPageBreak/>
        <w:t>ability to do the same.</w:t>
      </w:r>
    </w:p>
    <w:p w14:paraId="73A45641" w14:textId="0094E9CC" w:rsidR="00B53A74" w:rsidRDefault="00B53A74" w:rsidP="003030CD">
      <w:pPr>
        <w:widowControl w:val="0"/>
      </w:pPr>
    </w:p>
    <w:p w14:paraId="6BD9E33D" w14:textId="496BB009" w:rsidR="009C453D" w:rsidRDefault="009C453D" w:rsidP="003030CD">
      <w:pPr>
        <w:widowControl w:val="0"/>
      </w:pPr>
      <w:r w:rsidRPr="009C453D">
        <w:t xml:space="preserve">In these circumstances, it </w:t>
      </w:r>
      <w:r w:rsidR="00397F00">
        <w:t>was</w:t>
      </w:r>
      <w:r w:rsidRPr="009C453D">
        <w:t xml:space="preserve"> clear that as between the </w:t>
      </w:r>
      <w:r>
        <w:t>Seller</w:t>
      </w:r>
      <w:r w:rsidRPr="009C453D">
        <w:t xml:space="preserve"> and the Buyers, the Vopak BL was a non-essential document with no contractual force or effect as a contract of carriage or as a document of title. It did not and could not serve the traditional functions of a bill of lading.</w:t>
      </w:r>
    </w:p>
    <w:p w14:paraId="434D2ECC" w14:textId="7E110281" w:rsidR="004734AF" w:rsidRDefault="004734AF" w:rsidP="003030CD">
      <w:pPr>
        <w:widowControl w:val="0"/>
      </w:pPr>
    </w:p>
    <w:p w14:paraId="6D9A09D1" w14:textId="4DF6A4C6" w:rsidR="004734AF" w:rsidRDefault="008F6962" w:rsidP="003030CD">
      <w:pPr>
        <w:widowControl w:val="0"/>
      </w:pPr>
      <w:r>
        <w:t xml:space="preserve">This affected the analysis of the Vopak BLs as between the Seller and the </w:t>
      </w:r>
      <w:r w:rsidRPr="00B362D6">
        <w:t>Charterers</w:t>
      </w:r>
      <w:r>
        <w:t xml:space="preserve">. </w:t>
      </w:r>
      <w:r w:rsidRPr="008F6962">
        <w:t>Typically, a carrier that issue</w:t>
      </w:r>
      <w:r>
        <w:t>d</w:t>
      </w:r>
      <w:r w:rsidRPr="008F6962">
        <w:t xml:space="preserve"> a bill of lading assume</w:t>
      </w:r>
      <w:r w:rsidR="00830B2C">
        <w:t>d</w:t>
      </w:r>
      <w:r w:rsidRPr="008F6962">
        <w:t xml:space="preserve"> a fundamental obligation to deliver the goods at destination only against presentation of the bill</w:t>
      </w:r>
      <w:r w:rsidR="00BF1CD4">
        <w:t xml:space="preserve"> of lading</w:t>
      </w:r>
      <w:r w:rsidRPr="008F6962">
        <w:t xml:space="preserve">. However, in light of the </w:t>
      </w:r>
      <w:r w:rsidR="00052959">
        <w:t>Seller’s</w:t>
      </w:r>
      <w:r w:rsidRPr="008F6962">
        <w:t xml:space="preserve"> commercial arrangements with the Buyers, the </w:t>
      </w:r>
      <w:r w:rsidR="00D8569B">
        <w:t>Seller</w:t>
      </w:r>
      <w:r w:rsidRPr="008F6962">
        <w:t xml:space="preserve"> knew that the Vopak BLs would not allow it to regain possession of the bunkers it had sold by presenting the same to the </w:t>
      </w:r>
      <w:r w:rsidR="00C74F31" w:rsidRPr="00B362D6">
        <w:t>Charterers</w:t>
      </w:r>
      <w:r w:rsidR="00C74F31" w:rsidRPr="008F6962">
        <w:t xml:space="preserve"> </w:t>
      </w:r>
      <w:r w:rsidRPr="008F6962">
        <w:t>and demanding delivery.</w:t>
      </w:r>
      <w:r w:rsidR="005A58A9">
        <w:t xml:space="preserve"> </w:t>
      </w:r>
    </w:p>
    <w:p w14:paraId="3CB80FEA" w14:textId="6E2AA743" w:rsidR="00127503" w:rsidRDefault="00127503" w:rsidP="003030CD">
      <w:pPr>
        <w:widowControl w:val="0"/>
      </w:pPr>
    </w:p>
    <w:p w14:paraId="755FA2EC" w14:textId="07E1F211" w:rsidR="00127503" w:rsidRDefault="00AF04BE" w:rsidP="003030CD">
      <w:pPr>
        <w:widowControl w:val="0"/>
      </w:pPr>
      <w:r>
        <w:t>Further, t</w:t>
      </w:r>
      <w:r w:rsidR="00127503" w:rsidRPr="00127503">
        <w:t xml:space="preserve">he </w:t>
      </w:r>
      <w:r>
        <w:t>Seller</w:t>
      </w:r>
      <w:r w:rsidR="00127503" w:rsidRPr="00127503">
        <w:t xml:space="preserve"> had always looked to the Buyers for payment, rather than regard</w:t>
      </w:r>
      <w:r w:rsidR="00E30ED7">
        <w:t>ing</w:t>
      </w:r>
      <w:r w:rsidR="00127503" w:rsidRPr="00127503">
        <w:t xml:space="preserve"> the Vopak BLs as security against the risk of non-payment. Notably, this would also have been known by the </w:t>
      </w:r>
      <w:r w:rsidR="00531504">
        <w:t>Charter</w:t>
      </w:r>
      <w:r w:rsidR="003964FE">
        <w:t>ers</w:t>
      </w:r>
      <w:r w:rsidR="00127503" w:rsidRPr="00127503">
        <w:t xml:space="preserve"> who, as the carriers loading and discharging the bunkers bought and sold, were active participants in the commercial arrangements between the </w:t>
      </w:r>
      <w:r w:rsidR="00856338">
        <w:t>Seller</w:t>
      </w:r>
      <w:r w:rsidR="00856338" w:rsidRPr="00127503">
        <w:t xml:space="preserve"> </w:t>
      </w:r>
      <w:r w:rsidR="00127503" w:rsidRPr="00127503">
        <w:t>and the Buyers.</w:t>
      </w:r>
      <w:r w:rsidR="003F54E7">
        <w:t xml:space="preserve"> </w:t>
      </w:r>
      <w:r w:rsidR="003F54E7" w:rsidRPr="003F54E7">
        <w:t xml:space="preserve">Therefore, when the Vopak BLs were issued, neither the </w:t>
      </w:r>
      <w:r w:rsidR="00A96603">
        <w:t>Seller</w:t>
      </w:r>
      <w:r w:rsidR="003F54E7" w:rsidRPr="003F54E7">
        <w:t xml:space="preserve"> nor the </w:t>
      </w:r>
      <w:r w:rsidR="00A96603" w:rsidRPr="00B362D6">
        <w:t>Charterers</w:t>
      </w:r>
      <w:r w:rsidR="00A96603" w:rsidRPr="008F6962">
        <w:t xml:space="preserve"> </w:t>
      </w:r>
      <w:r w:rsidR="003F54E7" w:rsidRPr="003F54E7">
        <w:t>could have intended for delivery of the bunkers to be made only upon presentation of an original Vopak BL.</w:t>
      </w:r>
      <w:r w:rsidR="00152720">
        <w:t xml:space="preserve"> </w:t>
      </w:r>
      <w:r w:rsidR="00152720" w:rsidRPr="00152720">
        <w:t xml:space="preserve">On the contrary, all parties conducted themselves on the basis that the Buyers could direct the Vessels to deliver the bunkers to various ocean-going vessels immediately after loading, without any involvement on the </w:t>
      </w:r>
      <w:r w:rsidR="00152720">
        <w:t>Seller’s</w:t>
      </w:r>
      <w:r w:rsidR="00152720" w:rsidRPr="00152720">
        <w:t xml:space="preserve"> part. The corollary </w:t>
      </w:r>
      <w:r w:rsidR="00867D69">
        <w:t>of this arrangement was</w:t>
      </w:r>
      <w:r w:rsidR="00867D69" w:rsidRPr="00152720">
        <w:t xml:space="preserve"> </w:t>
      </w:r>
      <w:r w:rsidR="00152720" w:rsidRPr="00152720">
        <w:t xml:space="preserve">that the Vopak BLs could not have offered the </w:t>
      </w:r>
      <w:r w:rsidR="002D4F68">
        <w:t xml:space="preserve">Seller </w:t>
      </w:r>
      <w:r w:rsidR="00152720" w:rsidRPr="00152720">
        <w:t xml:space="preserve">any security against default by the </w:t>
      </w:r>
      <w:r w:rsidR="00D529D6">
        <w:t>B</w:t>
      </w:r>
      <w:r w:rsidR="00152720" w:rsidRPr="00152720">
        <w:t>uyer that typical bills of lading would. In sum, the parties’ commercial arrangements indicate</w:t>
      </w:r>
      <w:r w:rsidR="00867D69">
        <w:t>d</w:t>
      </w:r>
      <w:r w:rsidR="00152720" w:rsidRPr="00152720">
        <w:t xml:space="preserve"> that they had not intended for the Vopak BLs to function as typical bills of lading.</w:t>
      </w:r>
    </w:p>
    <w:p w14:paraId="3E43EA76" w14:textId="77777777" w:rsidR="00A71E16" w:rsidRDefault="00A71E16" w:rsidP="003030CD">
      <w:pPr>
        <w:widowControl w:val="0"/>
      </w:pPr>
    </w:p>
    <w:p w14:paraId="4412452F" w14:textId="5C6C65CE" w:rsidR="0080422E" w:rsidRPr="00B362D6" w:rsidRDefault="00C3434C" w:rsidP="003030CD">
      <w:pPr>
        <w:pStyle w:val="Heading4"/>
        <w:widowControl w:val="0"/>
      </w:pPr>
      <w:r w:rsidRPr="00B362D6">
        <w:t>The terms of the Vopak BLs</w:t>
      </w:r>
    </w:p>
    <w:p w14:paraId="21FAE2D7" w14:textId="42038C1B" w:rsidR="00D84976" w:rsidRPr="008C4F1E" w:rsidRDefault="00D84976" w:rsidP="003030CD">
      <w:pPr>
        <w:pStyle w:val="Heading3"/>
        <w:widowControl w:val="0"/>
        <w:numPr>
          <w:ilvl w:val="0"/>
          <w:numId w:val="0"/>
        </w:numPr>
        <w:rPr>
          <w:b w:val="0"/>
          <w:bCs/>
          <w:i w:val="0"/>
          <w:iCs/>
        </w:rPr>
      </w:pPr>
      <w:r w:rsidRPr="00B362D6">
        <w:rPr>
          <w:b w:val="0"/>
          <w:i w:val="0"/>
        </w:rPr>
        <w:t xml:space="preserve">The </w:t>
      </w:r>
      <w:r w:rsidR="00F26E46" w:rsidRPr="00B362D6">
        <w:rPr>
          <w:b w:val="0"/>
          <w:i w:val="0"/>
        </w:rPr>
        <w:t xml:space="preserve">CA considered that the </w:t>
      </w:r>
      <w:r w:rsidRPr="00B362D6">
        <w:rPr>
          <w:b w:val="0"/>
          <w:i w:val="0"/>
        </w:rPr>
        <w:t xml:space="preserve">above analysis </w:t>
      </w:r>
      <w:r w:rsidR="00F26E46" w:rsidRPr="00B362D6">
        <w:rPr>
          <w:b w:val="0"/>
          <w:i w:val="0"/>
        </w:rPr>
        <w:t>was also</w:t>
      </w:r>
      <w:r w:rsidRPr="00B362D6">
        <w:rPr>
          <w:b w:val="0"/>
          <w:i w:val="0"/>
        </w:rPr>
        <w:t xml:space="preserve"> supported by the terms of the Vopak BLs. In particular, the Vopak BLs contain</w:t>
      </w:r>
      <w:r w:rsidR="007C7712" w:rsidRPr="00B362D6">
        <w:rPr>
          <w:b w:val="0"/>
          <w:i w:val="0"/>
        </w:rPr>
        <w:t>ed</w:t>
      </w:r>
      <w:r w:rsidRPr="00B362D6">
        <w:rPr>
          <w:b w:val="0"/>
          <w:i w:val="0"/>
        </w:rPr>
        <w:t xml:space="preserve"> several features atypical of traditional bills of lading, reinforc</w:t>
      </w:r>
      <w:r w:rsidR="00135F41" w:rsidRPr="00B362D6">
        <w:rPr>
          <w:b w:val="0"/>
          <w:i w:val="0"/>
        </w:rPr>
        <w:t>ing</w:t>
      </w:r>
      <w:r w:rsidRPr="00B362D6">
        <w:rPr>
          <w:b w:val="0"/>
          <w:i w:val="0"/>
        </w:rPr>
        <w:t xml:space="preserve"> the view that they were not intended by the parties to operate as such.</w:t>
      </w:r>
      <w:r w:rsidRPr="00B362D6" w:rsidDel="00175999">
        <w:rPr>
          <w:b w:val="0"/>
          <w:i w:val="0"/>
        </w:rPr>
        <w:t xml:space="preserve"> </w:t>
      </w:r>
      <w:r w:rsidR="000E1F63" w:rsidRPr="008C4F1E">
        <w:rPr>
          <w:b w:val="0"/>
          <w:bCs/>
          <w:i w:val="0"/>
          <w:iCs/>
        </w:rPr>
        <w:t xml:space="preserve">This was because </w:t>
      </w:r>
      <w:r w:rsidR="007427F4">
        <w:rPr>
          <w:b w:val="0"/>
          <w:bCs/>
          <w:i w:val="0"/>
          <w:iCs/>
        </w:rPr>
        <w:t xml:space="preserve">(a) </w:t>
      </w:r>
      <w:r w:rsidR="000E1F63" w:rsidRPr="008C4F1E">
        <w:rPr>
          <w:b w:val="0"/>
          <w:bCs/>
          <w:i w:val="0"/>
          <w:iCs/>
        </w:rPr>
        <w:t>the</w:t>
      </w:r>
      <w:r w:rsidR="00EA7603" w:rsidRPr="008C4F1E">
        <w:rPr>
          <w:b w:val="0"/>
          <w:bCs/>
          <w:i w:val="0"/>
          <w:iCs/>
        </w:rPr>
        <w:t xml:space="preserve"> </w:t>
      </w:r>
      <w:r w:rsidR="000E1F63" w:rsidRPr="008C4F1E">
        <w:rPr>
          <w:b w:val="0"/>
          <w:bCs/>
          <w:i w:val="0"/>
          <w:iCs/>
        </w:rPr>
        <w:t xml:space="preserve">Vopak BLs did not specify a port of discharge and </w:t>
      </w:r>
      <w:r w:rsidR="00EA7603" w:rsidRPr="008C4F1E">
        <w:rPr>
          <w:b w:val="0"/>
          <w:bCs/>
          <w:i w:val="0"/>
          <w:iCs/>
        </w:rPr>
        <w:t xml:space="preserve">(b) </w:t>
      </w:r>
      <w:r w:rsidR="00A670D8" w:rsidRPr="008C4F1E">
        <w:rPr>
          <w:b w:val="0"/>
          <w:bCs/>
          <w:i w:val="0"/>
          <w:iCs/>
        </w:rPr>
        <w:t xml:space="preserve">the parties contemplated deliveries of </w:t>
      </w:r>
      <w:r w:rsidR="00E22493" w:rsidRPr="008C4F1E">
        <w:rPr>
          <w:b w:val="0"/>
          <w:bCs/>
          <w:i w:val="0"/>
          <w:iCs/>
        </w:rPr>
        <w:t xml:space="preserve">bunkers to multiple ocean-going vessels. </w:t>
      </w:r>
    </w:p>
    <w:p w14:paraId="536B3902" w14:textId="77777777" w:rsidR="00EA7603" w:rsidRPr="00EA7603" w:rsidRDefault="00EA7603" w:rsidP="003030CD">
      <w:pPr>
        <w:widowControl w:val="0"/>
      </w:pPr>
    </w:p>
    <w:p w14:paraId="24ACA74E" w14:textId="221A461C" w:rsidR="00EA7603" w:rsidRPr="009B4A0A" w:rsidRDefault="00EA7603" w:rsidP="003030CD">
      <w:pPr>
        <w:pStyle w:val="Heading5"/>
        <w:widowControl w:val="0"/>
        <w:ind w:left="1134" w:hanging="567"/>
        <w:rPr>
          <w:u w:val="single"/>
        </w:rPr>
      </w:pPr>
      <w:r w:rsidRPr="009B4A0A">
        <w:rPr>
          <w:u w:val="single"/>
        </w:rPr>
        <w:t>The Vopak BLs did not specify a port of discharge</w:t>
      </w:r>
    </w:p>
    <w:p w14:paraId="5C2FF17F" w14:textId="77777777" w:rsidR="00AE6BDE" w:rsidRDefault="00B26F1F" w:rsidP="003030CD">
      <w:pPr>
        <w:pStyle w:val="Heading2"/>
        <w:widowControl w:val="0"/>
        <w:numPr>
          <w:ilvl w:val="0"/>
          <w:numId w:val="0"/>
        </w:numPr>
        <w:rPr>
          <w:lang w:val="en-GB"/>
        </w:rPr>
      </w:pPr>
      <w:r>
        <w:rPr>
          <w:lang w:val="en-GB"/>
        </w:rPr>
        <w:t>The</w:t>
      </w:r>
      <w:r w:rsidR="00B87CEE" w:rsidRPr="007B327B">
        <w:rPr>
          <w:lang w:val="en-GB"/>
        </w:rPr>
        <w:t xml:space="preserve"> </w:t>
      </w:r>
      <w:r w:rsidR="00EE7C90">
        <w:rPr>
          <w:lang w:val="en-GB"/>
        </w:rPr>
        <w:t>Vopak BLs</w:t>
      </w:r>
      <w:r w:rsidR="00B87CEE" w:rsidRPr="007B327B">
        <w:rPr>
          <w:lang w:val="en-GB"/>
        </w:rPr>
        <w:t xml:space="preserve"> did not specify a port of discharge. Instead, the phrase “bunkers for ocean</w:t>
      </w:r>
      <w:r w:rsidR="00AD2BF8">
        <w:rPr>
          <w:lang w:val="en-GB"/>
        </w:rPr>
        <w:t xml:space="preserve"> </w:t>
      </w:r>
      <w:r w:rsidR="00B87CEE" w:rsidRPr="007B327B">
        <w:rPr>
          <w:lang w:val="en-GB"/>
        </w:rPr>
        <w:t xml:space="preserve">going vessels” was inserted in place of where a destination would </w:t>
      </w:r>
      <w:r w:rsidR="00867D69">
        <w:rPr>
          <w:lang w:val="en-GB"/>
        </w:rPr>
        <w:t xml:space="preserve">ordinarily </w:t>
      </w:r>
      <w:r w:rsidR="00B87CEE" w:rsidRPr="007B327B">
        <w:rPr>
          <w:lang w:val="en-GB"/>
        </w:rPr>
        <w:t xml:space="preserve">be indicated. </w:t>
      </w:r>
      <w:r w:rsidR="000076FA">
        <w:rPr>
          <w:lang w:val="en-GB"/>
        </w:rPr>
        <w:t>The CA noted that the HC interpreted the phrase to mean that bunkers were to be delivered to ocean-going vessels in or around the port of Singapore, hence the Vopak BLs were not void for uncertainty</w:t>
      </w:r>
      <w:r w:rsidR="00867D69">
        <w:rPr>
          <w:lang w:val="en-GB"/>
        </w:rPr>
        <w:t xml:space="preserve"> as they did specify a destination of discharge</w:t>
      </w:r>
      <w:r w:rsidR="000076FA">
        <w:rPr>
          <w:lang w:val="en-GB"/>
        </w:rPr>
        <w:t>.</w:t>
      </w:r>
      <w:r w:rsidR="00B22613">
        <w:rPr>
          <w:lang w:val="en-GB"/>
        </w:rPr>
        <w:t xml:space="preserve"> However, the CA </w:t>
      </w:r>
      <w:r w:rsidR="005739FA">
        <w:rPr>
          <w:lang w:val="en-GB"/>
        </w:rPr>
        <w:t>held that this construction was flawed</w:t>
      </w:r>
      <w:r w:rsidR="00B22613">
        <w:rPr>
          <w:lang w:val="en-GB"/>
        </w:rPr>
        <w:t xml:space="preserve">. </w:t>
      </w:r>
      <w:r w:rsidR="0038558B">
        <w:rPr>
          <w:lang w:val="en-GB"/>
        </w:rPr>
        <w:t xml:space="preserve">One of the vessels was not permitted to </w:t>
      </w:r>
      <w:r w:rsidR="0038558B" w:rsidRPr="0038558B">
        <w:rPr>
          <w:lang w:val="en-GB"/>
        </w:rPr>
        <w:t>operate within Singapore port limits. Conversely, the other Vessels were not restricted to operating only within Singapore port limits.</w:t>
      </w:r>
      <w:r w:rsidR="00FA06E1">
        <w:rPr>
          <w:lang w:val="en-GB"/>
        </w:rPr>
        <w:t xml:space="preserve"> </w:t>
      </w:r>
      <w:r w:rsidR="00CC6051">
        <w:rPr>
          <w:lang w:val="en-GB"/>
        </w:rPr>
        <w:t>T</w:t>
      </w:r>
      <w:r w:rsidR="00ED1FBA">
        <w:rPr>
          <w:lang w:val="en-GB"/>
        </w:rPr>
        <w:t xml:space="preserve">he CA </w:t>
      </w:r>
      <w:r w:rsidR="00E90485">
        <w:rPr>
          <w:lang w:val="en-GB"/>
        </w:rPr>
        <w:t xml:space="preserve">also </w:t>
      </w:r>
      <w:r w:rsidR="00ED1FBA">
        <w:rPr>
          <w:lang w:val="en-GB"/>
        </w:rPr>
        <w:t>found this construction overly broad</w:t>
      </w:r>
      <w:r w:rsidR="002874BC">
        <w:rPr>
          <w:lang w:val="en-GB"/>
        </w:rPr>
        <w:t>, as</w:t>
      </w:r>
      <w:r w:rsidR="00ED1FBA">
        <w:rPr>
          <w:lang w:val="en-GB"/>
        </w:rPr>
        <w:t xml:space="preserve"> </w:t>
      </w:r>
      <w:r w:rsidR="002874BC">
        <w:rPr>
          <w:lang w:val="en-GB"/>
        </w:rPr>
        <w:t>t</w:t>
      </w:r>
      <w:r w:rsidR="00715A52">
        <w:rPr>
          <w:lang w:val="en-GB"/>
        </w:rPr>
        <w:t xml:space="preserve">here could be hundreds of ocean-going vessels within the </w:t>
      </w:r>
      <w:r w:rsidR="00715A52" w:rsidRPr="00923603">
        <w:t>port</w:t>
      </w:r>
      <w:r w:rsidR="00715A52">
        <w:rPr>
          <w:lang w:val="en-GB"/>
        </w:rPr>
        <w:t xml:space="preserve"> limits of Singapore on any day. </w:t>
      </w:r>
    </w:p>
    <w:p w14:paraId="08BF945B" w14:textId="77777777" w:rsidR="00AE6BDE" w:rsidRDefault="00AE6BDE" w:rsidP="003030CD">
      <w:pPr>
        <w:pStyle w:val="Heading2"/>
        <w:widowControl w:val="0"/>
        <w:numPr>
          <w:ilvl w:val="0"/>
          <w:numId w:val="0"/>
        </w:numPr>
        <w:rPr>
          <w:lang w:val="en-GB"/>
        </w:rPr>
      </w:pPr>
    </w:p>
    <w:p w14:paraId="790F9BBC" w14:textId="3BD75E96" w:rsidR="00A0136C" w:rsidRDefault="002B426A" w:rsidP="003030CD">
      <w:pPr>
        <w:pStyle w:val="Heading2"/>
        <w:widowControl w:val="0"/>
        <w:numPr>
          <w:ilvl w:val="0"/>
          <w:numId w:val="0"/>
        </w:numPr>
        <w:rPr>
          <w:lang w:val="en-GB"/>
        </w:rPr>
      </w:pPr>
      <w:r>
        <w:rPr>
          <w:lang w:val="en-GB"/>
        </w:rPr>
        <w:t xml:space="preserve">While the Seller </w:t>
      </w:r>
      <w:r w:rsidR="00AD1E0E">
        <w:rPr>
          <w:lang w:val="en-GB"/>
        </w:rPr>
        <w:t>tried</w:t>
      </w:r>
      <w:r>
        <w:rPr>
          <w:lang w:val="en-GB"/>
        </w:rPr>
        <w:t xml:space="preserve"> to circumvent this difficulty by suggesting that any uncertainty could be cured via the nomination of a destination by the Seller or its </w:t>
      </w:r>
      <w:proofErr w:type="spellStart"/>
      <w:r>
        <w:rPr>
          <w:lang w:val="en-GB"/>
        </w:rPr>
        <w:t>indorsees</w:t>
      </w:r>
      <w:proofErr w:type="spellEnd"/>
      <w:r w:rsidR="00DF7C54">
        <w:rPr>
          <w:lang w:val="en-GB"/>
        </w:rPr>
        <w:t>,</w:t>
      </w:r>
      <w:r>
        <w:rPr>
          <w:lang w:val="en-GB"/>
        </w:rPr>
        <w:t xml:space="preserve"> </w:t>
      </w:r>
      <w:r w:rsidR="00AD1E0E">
        <w:rPr>
          <w:lang w:val="en-GB"/>
        </w:rPr>
        <w:t>the CA noted that</w:t>
      </w:r>
      <w:r>
        <w:rPr>
          <w:lang w:val="en-GB"/>
        </w:rPr>
        <w:t xml:space="preserve"> there was no such right or obligation on the part of the Seller or its </w:t>
      </w:r>
      <w:proofErr w:type="spellStart"/>
      <w:r>
        <w:rPr>
          <w:lang w:val="en-GB"/>
        </w:rPr>
        <w:t>indorsees</w:t>
      </w:r>
      <w:proofErr w:type="spellEnd"/>
      <w:r>
        <w:rPr>
          <w:lang w:val="en-GB"/>
        </w:rPr>
        <w:t xml:space="preserve"> to nominate a destination for the bunkers after the issuance of the Vopak BLs. </w:t>
      </w:r>
      <w:r w:rsidR="00AB0226">
        <w:rPr>
          <w:lang w:val="en-GB"/>
        </w:rPr>
        <w:t>That</w:t>
      </w:r>
      <w:r>
        <w:rPr>
          <w:lang w:val="en-GB"/>
        </w:rPr>
        <w:t xml:space="preserve"> would require a variation of the bill of lading, which the carrier must agree to. </w:t>
      </w:r>
      <w:r w:rsidR="00DD365E">
        <w:rPr>
          <w:lang w:val="en-GB"/>
        </w:rPr>
        <w:t>However, no</w:t>
      </w:r>
      <w:r>
        <w:rPr>
          <w:lang w:val="en-GB"/>
        </w:rPr>
        <w:t xml:space="preserve"> evidence was </w:t>
      </w:r>
      <w:r w:rsidR="006F44DB">
        <w:rPr>
          <w:lang w:val="en-GB"/>
        </w:rPr>
        <w:t>produced</w:t>
      </w:r>
      <w:r>
        <w:rPr>
          <w:lang w:val="en-GB"/>
        </w:rPr>
        <w:t xml:space="preserve"> at trial of any such agreement between the Seller and the Charterers. </w:t>
      </w:r>
      <w:r w:rsidR="009A58EF">
        <w:rPr>
          <w:lang w:val="en-GB"/>
        </w:rPr>
        <w:t>Indeed</w:t>
      </w:r>
      <w:r>
        <w:rPr>
          <w:lang w:val="en-GB"/>
        </w:rPr>
        <w:t xml:space="preserve">, the evidence showed that the Seller never made any </w:t>
      </w:r>
      <w:r w:rsidR="00AE6BDE">
        <w:rPr>
          <w:lang w:val="en-GB"/>
        </w:rPr>
        <w:t xml:space="preserve">choice as to which vessel the bunkers should be delivered to and, in the context of the relevant contractual arrangements, did not have any role in making such choices. </w:t>
      </w:r>
    </w:p>
    <w:p w14:paraId="50547409" w14:textId="77777777" w:rsidR="00C03E60" w:rsidRPr="00C03E60" w:rsidRDefault="00C03E60" w:rsidP="002A6F6F">
      <w:pPr>
        <w:rPr>
          <w:lang w:val="en-GB"/>
        </w:rPr>
      </w:pPr>
    </w:p>
    <w:p w14:paraId="48CA3F49" w14:textId="2073F5A1" w:rsidR="00CB5834" w:rsidRDefault="00CC6051" w:rsidP="003030CD">
      <w:pPr>
        <w:pStyle w:val="Heading2"/>
        <w:widowControl w:val="0"/>
        <w:numPr>
          <w:ilvl w:val="0"/>
          <w:numId w:val="0"/>
        </w:numPr>
        <w:rPr>
          <w:lang w:val="en-GB"/>
        </w:rPr>
      </w:pPr>
      <w:r>
        <w:rPr>
          <w:lang w:val="en-GB"/>
        </w:rPr>
        <w:lastRenderedPageBreak/>
        <w:t>Further</w:t>
      </w:r>
      <w:r w:rsidR="00570A06">
        <w:rPr>
          <w:lang w:val="en-GB"/>
        </w:rPr>
        <w:t xml:space="preserve">, </w:t>
      </w:r>
      <w:r w:rsidR="00CB5834" w:rsidRPr="00CB5834">
        <w:rPr>
          <w:lang w:val="en-GB"/>
        </w:rPr>
        <w:t>the insertion of the phrase “bunkers for ocean going vessels” where a destination would ordinarily be indicated suggest</w:t>
      </w:r>
      <w:r w:rsidR="006E5367">
        <w:rPr>
          <w:lang w:val="en-GB"/>
        </w:rPr>
        <w:t>ed</w:t>
      </w:r>
      <w:r w:rsidR="00CB5834" w:rsidRPr="00CB5834">
        <w:rPr>
          <w:lang w:val="en-GB"/>
        </w:rPr>
        <w:t xml:space="preserve"> that the parties intended to omit a destination altogether.</w:t>
      </w:r>
      <w:r w:rsidR="003B23AB">
        <w:rPr>
          <w:lang w:val="en-GB"/>
        </w:rPr>
        <w:t xml:space="preserve"> </w:t>
      </w:r>
      <w:r w:rsidR="00223E6F">
        <w:rPr>
          <w:lang w:val="en-GB"/>
        </w:rPr>
        <w:t>T</w:t>
      </w:r>
      <w:r w:rsidR="003B23AB">
        <w:rPr>
          <w:lang w:val="en-GB"/>
        </w:rPr>
        <w:t xml:space="preserve">he CA found this </w:t>
      </w:r>
      <w:r w:rsidR="007B2BA6">
        <w:rPr>
          <w:lang w:val="en-GB"/>
        </w:rPr>
        <w:t xml:space="preserve">to be </w:t>
      </w:r>
      <w:r w:rsidR="003B23AB" w:rsidRPr="007B327B">
        <w:rPr>
          <w:lang w:val="en-GB"/>
        </w:rPr>
        <w:t xml:space="preserve">wholly consistent with the commercial context, </w:t>
      </w:r>
      <w:r w:rsidR="003B23AB" w:rsidRPr="00923603">
        <w:t>which</w:t>
      </w:r>
      <w:r w:rsidR="003B23AB" w:rsidRPr="007B327B">
        <w:rPr>
          <w:lang w:val="en-GB"/>
        </w:rPr>
        <w:t xml:space="preserve"> is that the </w:t>
      </w:r>
      <w:r w:rsidR="003B23AB">
        <w:rPr>
          <w:lang w:val="en-GB"/>
        </w:rPr>
        <w:t>Charterers operated as “mobile petrol kiosks” where they</w:t>
      </w:r>
      <w:r w:rsidR="003B23AB" w:rsidRPr="007B327B">
        <w:rPr>
          <w:lang w:val="en-GB"/>
        </w:rPr>
        <w:t xml:space="preserve"> supplied other ocean-going vessels with bunkers for those vessels</w:t>
      </w:r>
      <w:r w:rsidR="003B23AB">
        <w:rPr>
          <w:lang w:val="en-GB"/>
        </w:rPr>
        <w:t xml:space="preserve">’ </w:t>
      </w:r>
      <w:r w:rsidR="003B23AB" w:rsidRPr="007B327B">
        <w:rPr>
          <w:lang w:val="en-GB"/>
        </w:rPr>
        <w:t>consumption.</w:t>
      </w:r>
    </w:p>
    <w:p w14:paraId="04B4EB6F" w14:textId="77777777" w:rsidR="00CB5834" w:rsidRDefault="00CB5834" w:rsidP="003030CD">
      <w:pPr>
        <w:pStyle w:val="Heading2"/>
        <w:widowControl w:val="0"/>
        <w:numPr>
          <w:ilvl w:val="0"/>
          <w:numId w:val="0"/>
        </w:numPr>
        <w:rPr>
          <w:lang w:val="en-GB"/>
        </w:rPr>
      </w:pPr>
    </w:p>
    <w:p w14:paraId="55FAF487" w14:textId="05EE43E9" w:rsidR="00B87CEE" w:rsidRPr="00784EAA" w:rsidRDefault="00B87CEE" w:rsidP="003030CD">
      <w:pPr>
        <w:pStyle w:val="Heading2"/>
        <w:widowControl w:val="0"/>
        <w:numPr>
          <w:ilvl w:val="0"/>
          <w:numId w:val="0"/>
        </w:numPr>
      </w:pPr>
      <w:r w:rsidRPr="007B327B">
        <w:rPr>
          <w:lang w:val="en-GB"/>
        </w:rPr>
        <w:t xml:space="preserve">The </w:t>
      </w:r>
      <w:r w:rsidR="00EE7C90">
        <w:rPr>
          <w:lang w:val="en-GB"/>
        </w:rPr>
        <w:t>CA</w:t>
      </w:r>
      <w:r w:rsidRPr="007B327B">
        <w:rPr>
          <w:lang w:val="en-GB"/>
        </w:rPr>
        <w:t xml:space="preserve"> recognised </w:t>
      </w:r>
      <w:r w:rsidRPr="00923603">
        <w:t>that</w:t>
      </w:r>
      <w:r w:rsidRPr="007B327B">
        <w:rPr>
          <w:lang w:val="en-GB"/>
        </w:rPr>
        <w:t xml:space="preserve"> the provision of a destination of discharge of bunkers </w:t>
      </w:r>
      <w:r w:rsidR="00856CE8">
        <w:rPr>
          <w:lang w:val="en-GB"/>
        </w:rPr>
        <w:t>was</w:t>
      </w:r>
      <w:r w:rsidR="00856CE8" w:rsidRPr="007B327B">
        <w:rPr>
          <w:lang w:val="en-GB"/>
        </w:rPr>
        <w:t xml:space="preserve"> </w:t>
      </w:r>
      <w:r w:rsidRPr="007B327B">
        <w:rPr>
          <w:lang w:val="en-GB"/>
        </w:rPr>
        <w:t xml:space="preserve">essential for the </w:t>
      </w:r>
      <w:r w:rsidR="00EE7C90">
        <w:rPr>
          <w:lang w:val="en-GB"/>
        </w:rPr>
        <w:t>Vopak BLs</w:t>
      </w:r>
      <w:r w:rsidRPr="007B327B">
        <w:rPr>
          <w:lang w:val="en-GB"/>
        </w:rPr>
        <w:t xml:space="preserve"> to function as documents of title. Hence, the lack of specification of the destination of discharge was a significant departure from typical bills of lading. </w:t>
      </w:r>
      <w:r w:rsidR="00223E6F" w:rsidRPr="00223E6F">
        <w:rPr>
          <w:lang w:val="en-GB"/>
        </w:rPr>
        <w:t xml:space="preserve">On this view, the bunkers loaded on board the Vessels were not intended for carriage from one port to another in the traditional sense, but were intended to be pumped into the bunker tanks of ocean-going vessels to be subsequently burnt as fuel. This fundamental difference between the Vessels’ carriage of the bunkers and a typical contract of carriage suggests that the Vopak BLs were no ordinary bills of lading, and had not been intended by the parties to operate as such. </w:t>
      </w:r>
      <w:r w:rsidR="00B922D5">
        <w:rPr>
          <w:lang w:val="en-GB"/>
        </w:rPr>
        <w:t>T</w:t>
      </w:r>
      <w:r w:rsidR="002E71DE">
        <w:rPr>
          <w:lang w:val="en-GB"/>
        </w:rPr>
        <w:t>he CA held that t</w:t>
      </w:r>
      <w:r w:rsidR="00223E6F" w:rsidRPr="00223E6F">
        <w:rPr>
          <w:lang w:val="en-GB"/>
        </w:rPr>
        <w:t>he absence of a port of destination illustrate</w:t>
      </w:r>
      <w:r w:rsidR="002E71DE">
        <w:rPr>
          <w:lang w:val="en-GB"/>
        </w:rPr>
        <w:t>d</w:t>
      </w:r>
      <w:r w:rsidR="00223E6F" w:rsidRPr="00223E6F">
        <w:rPr>
          <w:lang w:val="en-GB"/>
        </w:rPr>
        <w:t xml:space="preserve"> the point that the Vopak BLs were not intended to function as contracts of carriage and/or as documents of title.</w:t>
      </w:r>
    </w:p>
    <w:p w14:paraId="3B4C21C1" w14:textId="1F60D567" w:rsidR="009F4CEC" w:rsidRDefault="009F4CEC" w:rsidP="003030CD">
      <w:pPr>
        <w:pStyle w:val="Heading3"/>
        <w:widowControl w:val="0"/>
        <w:numPr>
          <w:ilvl w:val="0"/>
          <w:numId w:val="0"/>
        </w:numPr>
      </w:pPr>
    </w:p>
    <w:p w14:paraId="60E7907B" w14:textId="1E02CD89" w:rsidR="00EA7603" w:rsidRPr="00F870C6" w:rsidRDefault="00EA7603" w:rsidP="003030CD">
      <w:pPr>
        <w:pStyle w:val="Heading5"/>
        <w:widowControl w:val="0"/>
        <w:ind w:left="1134" w:hanging="567"/>
        <w:rPr>
          <w:u w:val="single"/>
        </w:rPr>
      </w:pPr>
      <w:r w:rsidRPr="00F870C6">
        <w:rPr>
          <w:u w:val="single"/>
        </w:rPr>
        <w:t>The parties contemplated deliveries of bunkers to multiple ocean-going vessels</w:t>
      </w:r>
    </w:p>
    <w:p w14:paraId="1D587409" w14:textId="7F04B00C" w:rsidR="00A75766" w:rsidRPr="00784EAA" w:rsidRDefault="00B26F1F" w:rsidP="003030CD">
      <w:pPr>
        <w:pStyle w:val="Heading2"/>
        <w:widowControl w:val="0"/>
        <w:numPr>
          <w:ilvl w:val="0"/>
          <w:numId w:val="0"/>
        </w:numPr>
      </w:pPr>
      <w:r>
        <w:rPr>
          <w:lang w:val="en-GB"/>
        </w:rPr>
        <w:t>The</w:t>
      </w:r>
      <w:r w:rsidR="00B87CEE" w:rsidRPr="00FC77DE">
        <w:rPr>
          <w:lang w:val="en-GB"/>
        </w:rPr>
        <w:t xml:space="preserve"> </w:t>
      </w:r>
      <w:r w:rsidR="00831B57" w:rsidRPr="00FC77DE">
        <w:rPr>
          <w:lang w:val="en-GB"/>
        </w:rPr>
        <w:t>Charterers</w:t>
      </w:r>
      <w:r w:rsidR="00B87CEE" w:rsidRPr="00FC77DE">
        <w:rPr>
          <w:lang w:val="en-GB"/>
        </w:rPr>
        <w:t xml:space="preserve"> had to deliver the bunkers to </w:t>
      </w:r>
      <w:r w:rsidR="00B87CEE" w:rsidRPr="00784EAA">
        <w:rPr>
          <w:i/>
          <w:lang w:val="en-GB"/>
        </w:rPr>
        <w:t>multiple</w:t>
      </w:r>
      <w:r w:rsidR="00B87CEE" w:rsidRPr="00FC77DE">
        <w:rPr>
          <w:lang w:val="en-GB"/>
        </w:rPr>
        <w:t xml:space="preserve"> </w:t>
      </w:r>
      <w:r w:rsidR="008B18F5" w:rsidRPr="00FC77DE">
        <w:rPr>
          <w:lang w:val="en-GB"/>
        </w:rPr>
        <w:t>ocean-going vessels</w:t>
      </w:r>
      <w:r w:rsidR="00B87CEE" w:rsidRPr="00FC77DE">
        <w:rPr>
          <w:lang w:val="en-GB"/>
        </w:rPr>
        <w:t xml:space="preserve">. </w:t>
      </w:r>
      <w:r w:rsidR="00A75766">
        <w:rPr>
          <w:lang w:val="en-GB"/>
        </w:rPr>
        <w:t xml:space="preserve">The CA held that </w:t>
      </w:r>
      <w:r w:rsidR="00A75766" w:rsidRPr="00A75766">
        <w:rPr>
          <w:lang w:val="en-GB"/>
        </w:rPr>
        <w:t xml:space="preserve">the fact that multiple deliveries were contemplated </w:t>
      </w:r>
      <w:r w:rsidR="002B0A7E">
        <w:rPr>
          <w:lang w:val="en-GB"/>
        </w:rPr>
        <w:t>was</w:t>
      </w:r>
      <w:r w:rsidR="00A75766" w:rsidRPr="00A75766">
        <w:rPr>
          <w:lang w:val="en-GB"/>
        </w:rPr>
        <w:t xml:space="preserve"> in line with the deliberate omission to specify a destination of discharge, and it reinforce</w:t>
      </w:r>
      <w:r w:rsidR="00400CF9">
        <w:rPr>
          <w:lang w:val="en-GB"/>
        </w:rPr>
        <w:t>d</w:t>
      </w:r>
      <w:r w:rsidR="00A75766" w:rsidRPr="00A75766">
        <w:rPr>
          <w:lang w:val="en-GB"/>
        </w:rPr>
        <w:t xml:space="preserve"> the view that the Vopak BLs were not intended to operate as typical bills of lading.</w:t>
      </w:r>
    </w:p>
    <w:p w14:paraId="6BB0D3A2" w14:textId="77777777" w:rsidR="00A75766" w:rsidRDefault="00A75766" w:rsidP="003030CD">
      <w:pPr>
        <w:pStyle w:val="Heading2"/>
        <w:widowControl w:val="0"/>
        <w:numPr>
          <w:ilvl w:val="0"/>
          <w:numId w:val="0"/>
        </w:numPr>
        <w:rPr>
          <w:lang w:val="en-GB"/>
        </w:rPr>
      </w:pPr>
    </w:p>
    <w:p w14:paraId="0879195D" w14:textId="77777777" w:rsidR="0064249C" w:rsidRDefault="00B87CEE" w:rsidP="003030CD">
      <w:pPr>
        <w:pStyle w:val="Heading2"/>
        <w:widowControl w:val="0"/>
        <w:numPr>
          <w:ilvl w:val="0"/>
          <w:numId w:val="0"/>
        </w:numPr>
        <w:rPr>
          <w:lang w:val="en-GB"/>
        </w:rPr>
      </w:pPr>
      <w:r w:rsidRPr="00FC77DE">
        <w:rPr>
          <w:lang w:val="en-GB"/>
        </w:rPr>
        <w:t xml:space="preserve">This </w:t>
      </w:r>
      <w:r w:rsidR="00B85F8E">
        <w:rPr>
          <w:lang w:val="en-GB"/>
        </w:rPr>
        <w:t xml:space="preserve">was for several reasons. </w:t>
      </w:r>
      <w:r w:rsidR="00B85F8E" w:rsidRPr="00B362D6">
        <w:rPr>
          <w:lang w:val="en-GB"/>
        </w:rPr>
        <w:t>One</w:t>
      </w:r>
      <w:r w:rsidR="00B85F8E">
        <w:rPr>
          <w:lang w:val="en-GB"/>
        </w:rPr>
        <w:t>, this</w:t>
      </w:r>
      <w:r w:rsidRPr="00FC77DE">
        <w:rPr>
          <w:lang w:val="en-GB"/>
        </w:rPr>
        <w:t xml:space="preserve"> process envision</w:t>
      </w:r>
      <w:r w:rsidR="00B85F8E">
        <w:rPr>
          <w:lang w:val="en-GB"/>
        </w:rPr>
        <w:t>ed</w:t>
      </w:r>
      <w:r w:rsidRPr="00FC77DE">
        <w:rPr>
          <w:lang w:val="en-GB"/>
        </w:rPr>
        <w:t xml:space="preserve"> a single initial delivery to the lawful holder of the </w:t>
      </w:r>
      <w:r w:rsidR="008B18F5" w:rsidRPr="00FC77DE">
        <w:rPr>
          <w:lang w:val="en-GB"/>
        </w:rPr>
        <w:t>Vopak BLs</w:t>
      </w:r>
      <w:r w:rsidRPr="00FC77DE">
        <w:rPr>
          <w:lang w:val="en-GB"/>
        </w:rPr>
        <w:t xml:space="preserve">, followed by multiple deliveries thereafter to various ocean-going vessels. This meant that subsequent deliveries </w:t>
      </w:r>
      <w:r w:rsidR="00391B4C">
        <w:rPr>
          <w:lang w:val="en-GB"/>
        </w:rPr>
        <w:t>were incompatible with</w:t>
      </w:r>
      <w:r w:rsidRPr="00FC77DE">
        <w:rPr>
          <w:lang w:val="en-GB"/>
        </w:rPr>
        <w:t xml:space="preserve"> the presentation rule</w:t>
      </w:r>
      <w:r w:rsidR="007410D8">
        <w:rPr>
          <w:lang w:val="en-GB"/>
        </w:rPr>
        <w:t xml:space="preserve"> (where each delivery would require an original Vo</w:t>
      </w:r>
      <w:r w:rsidR="001E0E11">
        <w:rPr>
          <w:lang w:val="en-GB"/>
        </w:rPr>
        <w:t>pak</w:t>
      </w:r>
      <w:r w:rsidR="007410D8">
        <w:rPr>
          <w:lang w:val="en-GB"/>
        </w:rPr>
        <w:t xml:space="preserve"> BL)</w:t>
      </w:r>
      <w:r w:rsidRPr="00FC77DE">
        <w:rPr>
          <w:lang w:val="en-GB"/>
        </w:rPr>
        <w:t>.</w:t>
      </w:r>
      <w:r w:rsidR="00E06BAA">
        <w:rPr>
          <w:lang w:val="en-GB"/>
        </w:rPr>
        <w:t xml:space="preserve"> </w:t>
      </w:r>
    </w:p>
    <w:p w14:paraId="452AB2D5" w14:textId="77777777" w:rsidR="001A01A6" w:rsidRDefault="001A01A6" w:rsidP="003030CD">
      <w:pPr>
        <w:pStyle w:val="Heading2"/>
        <w:widowControl w:val="0"/>
        <w:numPr>
          <w:ilvl w:val="0"/>
          <w:numId w:val="0"/>
        </w:numPr>
        <w:rPr>
          <w:lang w:val="en-GB"/>
        </w:rPr>
      </w:pPr>
    </w:p>
    <w:p w14:paraId="783DB948" w14:textId="705698A4" w:rsidR="0064249C" w:rsidRDefault="00E06BAA" w:rsidP="003030CD">
      <w:pPr>
        <w:pStyle w:val="Heading2"/>
        <w:widowControl w:val="0"/>
        <w:numPr>
          <w:ilvl w:val="0"/>
          <w:numId w:val="0"/>
        </w:numPr>
        <w:rPr>
          <w:lang w:val="en-GB"/>
        </w:rPr>
      </w:pPr>
      <w:r w:rsidRPr="00B362D6">
        <w:rPr>
          <w:lang w:val="en-GB"/>
        </w:rPr>
        <w:t>Two</w:t>
      </w:r>
      <w:r>
        <w:rPr>
          <w:lang w:val="en-GB"/>
        </w:rPr>
        <w:t>,</w:t>
      </w:r>
      <w:r w:rsidR="00B87CEE" w:rsidRPr="00FC77DE">
        <w:rPr>
          <w:lang w:val="en-GB"/>
        </w:rPr>
        <w:t xml:space="preserve"> </w:t>
      </w:r>
      <w:r w:rsidR="003750CB">
        <w:rPr>
          <w:lang w:val="en-GB"/>
        </w:rPr>
        <w:t>such an</w:t>
      </w:r>
      <w:r w:rsidR="003750CB" w:rsidRPr="003750CB">
        <w:rPr>
          <w:lang w:val="en-GB"/>
        </w:rPr>
        <w:t xml:space="preserve"> interpretation would mean that during the credit period and while the Vopak BLs were in the possession of the </w:t>
      </w:r>
      <w:r w:rsidR="00A456D6">
        <w:rPr>
          <w:lang w:val="en-GB"/>
        </w:rPr>
        <w:t>Seller</w:t>
      </w:r>
      <w:r w:rsidR="003750CB" w:rsidRPr="003750CB">
        <w:rPr>
          <w:lang w:val="en-GB"/>
        </w:rPr>
        <w:t xml:space="preserve">, only the </w:t>
      </w:r>
      <w:r w:rsidR="00A456D6">
        <w:rPr>
          <w:lang w:val="en-GB"/>
        </w:rPr>
        <w:t>Seller</w:t>
      </w:r>
      <w:r w:rsidR="003750CB" w:rsidRPr="003750CB">
        <w:rPr>
          <w:lang w:val="en-GB"/>
        </w:rPr>
        <w:t xml:space="preserve"> as the lawful holder of the Vopak BLs could give delivery instructions for the bunkers. The evidence </w:t>
      </w:r>
      <w:r w:rsidR="006C6CBF">
        <w:rPr>
          <w:lang w:val="en-GB"/>
        </w:rPr>
        <w:t>was, however</w:t>
      </w:r>
      <w:r w:rsidR="003750CB" w:rsidRPr="003750CB">
        <w:rPr>
          <w:lang w:val="en-GB"/>
        </w:rPr>
        <w:t>, plainly contrary to such an interpretation.</w:t>
      </w:r>
      <w:r w:rsidR="0056718F" w:rsidRPr="0056718F">
        <w:rPr>
          <w:lang w:val="en-GB"/>
        </w:rPr>
        <w:t xml:space="preserve"> </w:t>
      </w:r>
      <w:r w:rsidR="00843D74">
        <w:rPr>
          <w:lang w:val="en-GB"/>
        </w:rPr>
        <w:t>For instance, t</w:t>
      </w:r>
      <w:r w:rsidR="0056718F">
        <w:rPr>
          <w:lang w:val="en-GB"/>
        </w:rPr>
        <w:t xml:space="preserve">he Seller never gave instructions to the </w:t>
      </w:r>
      <w:r w:rsidR="0056718F" w:rsidRPr="00B362D6">
        <w:rPr>
          <w:lang w:val="en-GB"/>
        </w:rPr>
        <w:t>Charterers</w:t>
      </w:r>
      <w:r w:rsidR="0056718F">
        <w:rPr>
          <w:lang w:val="en-GB"/>
        </w:rPr>
        <w:t xml:space="preserve"> to make deliveries to ocean-going vessels</w:t>
      </w:r>
      <w:r w:rsidR="00843D74">
        <w:rPr>
          <w:lang w:val="en-GB"/>
        </w:rPr>
        <w:t>; instead, the Charterers took instructions from the Buyers directly.</w:t>
      </w:r>
      <w:r w:rsidR="00A94A76">
        <w:rPr>
          <w:lang w:val="en-GB"/>
        </w:rPr>
        <w:t xml:space="preserve"> </w:t>
      </w:r>
    </w:p>
    <w:p w14:paraId="5E921AC1" w14:textId="77777777" w:rsidR="0064249C" w:rsidRDefault="0064249C" w:rsidP="003030CD">
      <w:pPr>
        <w:pStyle w:val="Heading2"/>
        <w:widowControl w:val="0"/>
        <w:numPr>
          <w:ilvl w:val="0"/>
          <w:numId w:val="0"/>
        </w:numPr>
        <w:rPr>
          <w:lang w:val="en-GB"/>
        </w:rPr>
      </w:pPr>
    </w:p>
    <w:p w14:paraId="4E27ECDE" w14:textId="77777777" w:rsidR="000A1B5A" w:rsidRDefault="00A94A76" w:rsidP="003030CD">
      <w:pPr>
        <w:pStyle w:val="Heading2"/>
        <w:widowControl w:val="0"/>
        <w:numPr>
          <w:ilvl w:val="0"/>
          <w:numId w:val="0"/>
        </w:numPr>
        <w:rPr>
          <w:lang w:val="en-GB"/>
        </w:rPr>
      </w:pPr>
      <w:r w:rsidRPr="00B362D6">
        <w:rPr>
          <w:lang w:val="en-GB"/>
        </w:rPr>
        <w:t>Three</w:t>
      </w:r>
      <w:r>
        <w:rPr>
          <w:lang w:val="en-GB"/>
        </w:rPr>
        <w:t xml:space="preserve">, </w:t>
      </w:r>
      <w:r w:rsidR="00E143BD">
        <w:rPr>
          <w:lang w:val="en-GB"/>
        </w:rPr>
        <w:t>the HC’s interpre</w:t>
      </w:r>
      <w:r w:rsidR="0090521E">
        <w:rPr>
          <w:lang w:val="en-GB"/>
        </w:rPr>
        <w:t xml:space="preserve">tation </w:t>
      </w:r>
      <w:r w:rsidR="00A8134D">
        <w:rPr>
          <w:lang w:val="en-GB"/>
        </w:rPr>
        <w:t xml:space="preserve">meant that </w:t>
      </w:r>
      <w:r w:rsidR="00BB6C03" w:rsidRPr="00BB6C03">
        <w:rPr>
          <w:lang w:val="en-GB"/>
        </w:rPr>
        <w:t>breach of contract was an unavoidable consequence of the parties’ arrangements</w:t>
      </w:r>
      <w:r w:rsidR="00BB6C03">
        <w:rPr>
          <w:lang w:val="en-GB"/>
        </w:rPr>
        <w:t xml:space="preserve">. </w:t>
      </w:r>
      <w:r w:rsidR="009D2462">
        <w:rPr>
          <w:lang w:val="en-GB"/>
        </w:rPr>
        <w:t xml:space="preserve">The HC </w:t>
      </w:r>
      <w:r w:rsidR="00495CB6">
        <w:rPr>
          <w:lang w:val="en-GB"/>
        </w:rPr>
        <w:t xml:space="preserve">had </w:t>
      </w:r>
      <w:r w:rsidR="009D2462">
        <w:rPr>
          <w:lang w:val="en-GB"/>
        </w:rPr>
        <w:t>sought to resolve this difficulty by proposing that the Vopak BL was independent from the underlying contractual arrangement</w:t>
      </w:r>
      <w:r w:rsidR="00DD365E">
        <w:rPr>
          <w:lang w:val="en-GB"/>
        </w:rPr>
        <w:t>.</w:t>
      </w:r>
      <w:r w:rsidR="009D2462">
        <w:rPr>
          <w:lang w:val="en-GB"/>
        </w:rPr>
        <w:t xml:space="preserve"> </w:t>
      </w:r>
      <w:r w:rsidR="00DD365E">
        <w:rPr>
          <w:lang w:val="en-GB"/>
        </w:rPr>
        <w:t>T</w:t>
      </w:r>
      <w:r w:rsidR="00643839">
        <w:rPr>
          <w:lang w:val="en-GB"/>
        </w:rPr>
        <w:t xml:space="preserve">hus, </w:t>
      </w:r>
      <w:r w:rsidR="009D2462">
        <w:rPr>
          <w:lang w:val="en-GB"/>
        </w:rPr>
        <w:t xml:space="preserve">even if the two sets of obligations </w:t>
      </w:r>
      <w:r w:rsidR="00643839">
        <w:rPr>
          <w:lang w:val="en-GB"/>
        </w:rPr>
        <w:t>were in conflict</w:t>
      </w:r>
      <w:r w:rsidR="009D2462">
        <w:rPr>
          <w:lang w:val="en-GB"/>
        </w:rPr>
        <w:t xml:space="preserve">, it </w:t>
      </w:r>
      <w:r w:rsidR="00643839">
        <w:rPr>
          <w:lang w:val="en-GB"/>
        </w:rPr>
        <w:t>would be</w:t>
      </w:r>
      <w:r w:rsidR="009D2462">
        <w:rPr>
          <w:lang w:val="en-GB"/>
        </w:rPr>
        <w:t xml:space="preserve"> no defence for the Charterers to set up one set of obligations to excuse them from complying with the other set of obligations. </w:t>
      </w:r>
    </w:p>
    <w:p w14:paraId="1C6F7E8C" w14:textId="77777777" w:rsidR="000A1B5A" w:rsidRDefault="000A1B5A" w:rsidP="003030CD">
      <w:pPr>
        <w:pStyle w:val="Heading2"/>
        <w:widowControl w:val="0"/>
        <w:numPr>
          <w:ilvl w:val="0"/>
          <w:numId w:val="0"/>
        </w:numPr>
        <w:rPr>
          <w:lang w:val="en-GB"/>
        </w:rPr>
      </w:pPr>
    </w:p>
    <w:p w14:paraId="7AB16507" w14:textId="6B0B43CB" w:rsidR="003750CB" w:rsidRDefault="00A46761" w:rsidP="003030CD">
      <w:pPr>
        <w:pStyle w:val="Heading2"/>
        <w:widowControl w:val="0"/>
        <w:numPr>
          <w:ilvl w:val="0"/>
          <w:numId w:val="0"/>
        </w:numPr>
        <w:rPr>
          <w:lang w:val="en-GB"/>
        </w:rPr>
      </w:pPr>
      <w:r>
        <w:rPr>
          <w:lang w:val="en-GB"/>
        </w:rPr>
        <w:t xml:space="preserve">However, </w:t>
      </w:r>
      <w:r w:rsidR="009D2462">
        <w:rPr>
          <w:lang w:val="en-GB"/>
        </w:rPr>
        <w:t xml:space="preserve">the CA </w:t>
      </w:r>
      <w:r w:rsidR="002507B2">
        <w:rPr>
          <w:lang w:val="en-GB"/>
        </w:rPr>
        <w:t>noted</w:t>
      </w:r>
      <w:r w:rsidR="009D2462">
        <w:rPr>
          <w:lang w:val="en-GB"/>
        </w:rPr>
        <w:t xml:space="preserve"> that the HC’s reasoning was predicated on an antecedent finding that the Vopak BLs were intended to have contractual force</w:t>
      </w:r>
      <w:r w:rsidR="00303513">
        <w:rPr>
          <w:lang w:val="en-GB"/>
        </w:rPr>
        <w:t xml:space="preserve"> </w:t>
      </w:r>
      <w:r w:rsidR="00DD365E">
        <w:rPr>
          <w:lang w:val="en-GB"/>
        </w:rPr>
        <w:t>(</w:t>
      </w:r>
      <w:proofErr w:type="gramStart"/>
      <w:r w:rsidR="00303513">
        <w:rPr>
          <w:lang w:val="en-GB"/>
        </w:rPr>
        <w:t>i.e.</w:t>
      </w:r>
      <w:proofErr w:type="gramEnd"/>
      <w:r w:rsidR="0064249C">
        <w:rPr>
          <w:lang w:val="en-GB"/>
        </w:rPr>
        <w:t xml:space="preserve"> the HC assumed that the Charterers had agreed to undertake conflicting obligations in the first place</w:t>
      </w:r>
      <w:r w:rsidR="00DD365E">
        <w:rPr>
          <w:lang w:val="en-GB"/>
        </w:rPr>
        <w:t>)</w:t>
      </w:r>
      <w:r w:rsidR="0064249C">
        <w:rPr>
          <w:lang w:val="en-GB"/>
        </w:rPr>
        <w:t xml:space="preserve">. Instead, the CA emphasised that the main inquiry was whether the Vopak BLs were </w:t>
      </w:r>
      <w:r w:rsidR="00094B83">
        <w:rPr>
          <w:lang w:val="en-GB"/>
        </w:rPr>
        <w:t>even</w:t>
      </w:r>
      <w:r w:rsidR="00DA698A">
        <w:rPr>
          <w:lang w:val="en-GB"/>
        </w:rPr>
        <w:t xml:space="preserve"> </w:t>
      </w:r>
      <w:r w:rsidR="001C5B4A">
        <w:rPr>
          <w:lang w:val="en-GB"/>
        </w:rPr>
        <w:t>intended</w:t>
      </w:r>
      <w:r w:rsidR="00DA698A">
        <w:rPr>
          <w:lang w:val="en-GB"/>
        </w:rPr>
        <w:t xml:space="preserve"> to be</w:t>
      </w:r>
      <w:r w:rsidR="00094B83">
        <w:rPr>
          <w:lang w:val="en-GB"/>
        </w:rPr>
        <w:t xml:space="preserve"> </w:t>
      </w:r>
      <w:r w:rsidR="0064249C">
        <w:rPr>
          <w:lang w:val="en-GB"/>
        </w:rPr>
        <w:t>contracts of carriage and documents of title</w:t>
      </w:r>
      <w:r w:rsidR="00847777">
        <w:rPr>
          <w:lang w:val="en-GB"/>
        </w:rPr>
        <w:t xml:space="preserve">, </w:t>
      </w:r>
      <w:r w:rsidR="0009302F">
        <w:rPr>
          <w:lang w:val="en-GB"/>
        </w:rPr>
        <w:t>and thus whether they intended the presentation rule to apply</w:t>
      </w:r>
      <w:r w:rsidR="007F4062">
        <w:rPr>
          <w:lang w:val="en-GB"/>
        </w:rPr>
        <w:t>.</w:t>
      </w:r>
      <w:r w:rsidR="00DA698A">
        <w:rPr>
          <w:lang w:val="en-GB"/>
        </w:rPr>
        <w:t xml:space="preserve"> </w:t>
      </w:r>
      <w:r w:rsidR="0064249C">
        <w:rPr>
          <w:lang w:val="en-GB"/>
        </w:rPr>
        <w:t xml:space="preserve">Ultimately, </w:t>
      </w:r>
      <w:r>
        <w:rPr>
          <w:lang w:val="en-GB"/>
        </w:rPr>
        <w:t xml:space="preserve">the CA held that contrary to the HC’s finding, </w:t>
      </w:r>
      <w:r w:rsidRPr="00A46761">
        <w:rPr>
          <w:lang w:val="en-GB"/>
        </w:rPr>
        <w:t xml:space="preserve">the conflict between the presentation rule and the contemplation of multiple deliveries, especially in light of the 30-day credit period, should have instead led </w:t>
      </w:r>
      <w:r w:rsidR="00CA15B8">
        <w:rPr>
          <w:lang w:val="en-GB"/>
        </w:rPr>
        <w:t>the HC</w:t>
      </w:r>
      <w:r w:rsidRPr="00A46761">
        <w:rPr>
          <w:lang w:val="en-GB"/>
        </w:rPr>
        <w:t xml:space="preserve"> to find that the parties never intended the presentation rule to apply</w:t>
      </w:r>
      <w:r w:rsidR="00CA15B8">
        <w:rPr>
          <w:lang w:val="en-GB"/>
        </w:rPr>
        <w:t xml:space="preserve">. </w:t>
      </w:r>
    </w:p>
    <w:p w14:paraId="7161987E" w14:textId="6AFAB16D" w:rsidR="00587F95" w:rsidRPr="00587F95" w:rsidRDefault="00587F95" w:rsidP="003030CD">
      <w:pPr>
        <w:pStyle w:val="Heading3"/>
        <w:widowControl w:val="0"/>
        <w:numPr>
          <w:ilvl w:val="0"/>
          <w:numId w:val="0"/>
        </w:numPr>
        <w:ind w:left="567"/>
        <w:rPr>
          <w:lang w:val="en-GB"/>
        </w:rPr>
      </w:pPr>
    </w:p>
    <w:p w14:paraId="07ABD6D5" w14:textId="57722953" w:rsidR="009F4CEC" w:rsidRDefault="00587F95" w:rsidP="003030CD">
      <w:pPr>
        <w:pStyle w:val="Heading3"/>
        <w:widowControl w:val="0"/>
        <w:rPr>
          <w:lang w:val="en-GB"/>
        </w:rPr>
      </w:pPr>
      <w:r>
        <w:rPr>
          <w:lang w:val="en-GB"/>
        </w:rPr>
        <w:t xml:space="preserve">The </w:t>
      </w:r>
      <w:r w:rsidR="00074138">
        <w:rPr>
          <w:lang w:val="en-GB"/>
        </w:rPr>
        <w:t>risk allocation</w:t>
      </w:r>
      <w:r w:rsidR="005D2727">
        <w:rPr>
          <w:lang w:val="en-GB"/>
        </w:rPr>
        <w:t xml:space="preserve"> between the parties</w:t>
      </w:r>
      <w:r>
        <w:rPr>
          <w:lang w:val="en-GB"/>
        </w:rPr>
        <w:t xml:space="preserve"> </w:t>
      </w:r>
    </w:p>
    <w:p w14:paraId="3A7D19AA" w14:textId="4315D8D0" w:rsidR="00A64D25" w:rsidRDefault="0077036C" w:rsidP="003030CD">
      <w:pPr>
        <w:pStyle w:val="Heading2"/>
        <w:widowControl w:val="0"/>
        <w:numPr>
          <w:ilvl w:val="0"/>
          <w:numId w:val="0"/>
        </w:numPr>
        <w:rPr>
          <w:lang w:val="en-GB"/>
        </w:rPr>
      </w:pPr>
      <w:r>
        <w:rPr>
          <w:lang w:val="en-GB"/>
        </w:rPr>
        <w:t xml:space="preserve">The CA noted that </w:t>
      </w:r>
      <w:r w:rsidRPr="0077036C">
        <w:rPr>
          <w:lang w:val="en-GB"/>
        </w:rPr>
        <w:t xml:space="preserve">by extending </w:t>
      </w:r>
      <w:r w:rsidR="008346B5">
        <w:rPr>
          <w:lang w:val="en-GB"/>
        </w:rPr>
        <w:t xml:space="preserve">the 30-day </w:t>
      </w:r>
      <w:r w:rsidRPr="0077036C">
        <w:rPr>
          <w:lang w:val="en-GB"/>
        </w:rPr>
        <w:t xml:space="preserve">credit to the Buyers and deliberately omitting to stipulate for the use of traditional bills of lading under the sale contracts, the </w:t>
      </w:r>
      <w:r w:rsidR="009D16A3">
        <w:rPr>
          <w:lang w:val="en-GB"/>
        </w:rPr>
        <w:t>Seller</w:t>
      </w:r>
      <w:r w:rsidRPr="0077036C">
        <w:rPr>
          <w:lang w:val="en-GB"/>
        </w:rPr>
        <w:t xml:space="preserve"> had</w:t>
      </w:r>
      <w:r w:rsidR="00E64300">
        <w:rPr>
          <w:lang w:val="en-GB"/>
        </w:rPr>
        <w:t xml:space="preserve"> </w:t>
      </w:r>
      <w:r w:rsidRPr="0077036C">
        <w:rPr>
          <w:lang w:val="en-GB"/>
        </w:rPr>
        <w:t xml:space="preserve">accepted the risk of </w:t>
      </w:r>
      <w:r w:rsidRPr="0077036C">
        <w:rPr>
          <w:lang w:val="en-GB"/>
        </w:rPr>
        <w:lastRenderedPageBreak/>
        <w:t>non-payment by the Buyers</w:t>
      </w:r>
      <w:r w:rsidR="009D16A3">
        <w:rPr>
          <w:lang w:val="en-GB"/>
        </w:rPr>
        <w:t xml:space="preserve">. </w:t>
      </w:r>
      <w:r w:rsidR="00EA0629">
        <w:rPr>
          <w:lang w:val="en-GB"/>
        </w:rPr>
        <w:t>Additionally, i</w:t>
      </w:r>
      <w:r w:rsidR="00EA0629" w:rsidRPr="00034D40">
        <w:rPr>
          <w:lang w:val="en-GB"/>
        </w:rPr>
        <w:t>n granting the credit period such that the Buyers would be able to take delivery of the bunkers during the credit period without production of the Vopak BLs, it follow</w:t>
      </w:r>
      <w:r w:rsidR="00EA0629">
        <w:rPr>
          <w:lang w:val="en-GB"/>
        </w:rPr>
        <w:t>ed</w:t>
      </w:r>
      <w:r w:rsidR="00EA0629" w:rsidRPr="00034D40">
        <w:rPr>
          <w:lang w:val="en-GB"/>
        </w:rPr>
        <w:t xml:space="preserve"> that it would not be necessary for the </w:t>
      </w:r>
      <w:r w:rsidR="00EA0629">
        <w:rPr>
          <w:lang w:val="en-GB"/>
        </w:rPr>
        <w:t>Seller</w:t>
      </w:r>
      <w:r w:rsidR="00EA0629" w:rsidRPr="00034D40">
        <w:rPr>
          <w:lang w:val="en-GB"/>
        </w:rPr>
        <w:t xml:space="preserve"> to tender the Vopak BLs to obtain payment from the Buyers.</w:t>
      </w:r>
      <w:r w:rsidR="00EA0629" w:rsidRPr="003C0DF1">
        <w:rPr>
          <w:lang w:val="en-GB"/>
        </w:rPr>
        <w:t xml:space="preserve"> </w:t>
      </w:r>
    </w:p>
    <w:p w14:paraId="179C60EB" w14:textId="77777777" w:rsidR="00A64D25" w:rsidRDefault="00A64D25" w:rsidP="003030CD">
      <w:pPr>
        <w:pStyle w:val="Heading2"/>
        <w:widowControl w:val="0"/>
        <w:numPr>
          <w:ilvl w:val="0"/>
          <w:numId w:val="0"/>
        </w:numPr>
        <w:rPr>
          <w:lang w:val="en-GB"/>
        </w:rPr>
      </w:pPr>
    </w:p>
    <w:p w14:paraId="2BD206D4" w14:textId="554476CE" w:rsidR="00A64D25" w:rsidRDefault="00A64D25" w:rsidP="003030CD">
      <w:pPr>
        <w:pStyle w:val="Heading2"/>
        <w:widowControl w:val="0"/>
        <w:numPr>
          <w:ilvl w:val="0"/>
          <w:numId w:val="0"/>
        </w:numPr>
        <w:rPr>
          <w:lang w:val="en-GB"/>
        </w:rPr>
      </w:pPr>
      <w:r w:rsidRPr="007B327B">
        <w:rPr>
          <w:lang w:val="en-GB"/>
        </w:rPr>
        <w:t xml:space="preserve">In a typical sale contract involving shipment, the bill of lading is the most important shipping document. The bill of lading is akin to a key to a warehouse. By retaining the bill of lading, </w:t>
      </w:r>
      <w:r w:rsidRPr="00923603">
        <w:t>the</w:t>
      </w:r>
      <w:r w:rsidRPr="007B327B">
        <w:rPr>
          <w:lang w:val="en-GB"/>
        </w:rPr>
        <w:t xml:space="preserve"> holder can retain his property and keep his goods locked in the warehouse. Without a bill of lading, one essentially leaves the warehouse unlocked, accepting the risk of non-payment. Deliberately omitting a reference to the bills of lading in the sale contract indicate</w:t>
      </w:r>
      <w:r>
        <w:rPr>
          <w:lang w:val="en-GB"/>
        </w:rPr>
        <w:t>d</w:t>
      </w:r>
      <w:r w:rsidRPr="007B327B">
        <w:rPr>
          <w:lang w:val="en-GB"/>
        </w:rPr>
        <w:t xml:space="preserve"> </w:t>
      </w:r>
      <w:r w:rsidR="00850DCF">
        <w:rPr>
          <w:lang w:val="en-GB"/>
        </w:rPr>
        <w:t xml:space="preserve">the Seller’s </w:t>
      </w:r>
      <w:r w:rsidRPr="007B327B">
        <w:rPr>
          <w:lang w:val="en-GB"/>
        </w:rPr>
        <w:t xml:space="preserve">acceptance of the risk of non-payment. This shows that </w:t>
      </w:r>
      <w:r w:rsidR="00850DCF">
        <w:rPr>
          <w:lang w:val="en-GB"/>
        </w:rPr>
        <w:t xml:space="preserve">the Seller </w:t>
      </w:r>
      <w:r w:rsidRPr="007B327B">
        <w:rPr>
          <w:lang w:val="en-GB"/>
        </w:rPr>
        <w:t>had looked to the Buyers for payment, rather than regarded the V</w:t>
      </w:r>
      <w:r>
        <w:rPr>
          <w:lang w:val="en-GB"/>
        </w:rPr>
        <w:t xml:space="preserve">opak </w:t>
      </w:r>
      <w:r w:rsidRPr="007B327B">
        <w:rPr>
          <w:lang w:val="en-GB"/>
        </w:rPr>
        <w:t>BLs as security against the risk of non-payment.</w:t>
      </w:r>
      <w:r>
        <w:rPr>
          <w:lang w:val="en-GB"/>
        </w:rPr>
        <w:t xml:space="preserve"> </w:t>
      </w:r>
    </w:p>
    <w:p w14:paraId="640C37DC" w14:textId="77777777" w:rsidR="00A64D25" w:rsidRDefault="00A64D25" w:rsidP="003030CD">
      <w:pPr>
        <w:pStyle w:val="Heading2"/>
        <w:widowControl w:val="0"/>
        <w:numPr>
          <w:ilvl w:val="0"/>
          <w:numId w:val="0"/>
        </w:numPr>
        <w:rPr>
          <w:lang w:val="en-GB"/>
        </w:rPr>
      </w:pPr>
    </w:p>
    <w:p w14:paraId="41931CF1" w14:textId="7BD9E8B6" w:rsidR="002C517C" w:rsidRPr="0039675F" w:rsidRDefault="00D95058" w:rsidP="003030CD">
      <w:pPr>
        <w:pStyle w:val="Heading2"/>
        <w:widowControl w:val="0"/>
        <w:numPr>
          <w:ilvl w:val="0"/>
          <w:numId w:val="0"/>
        </w:numPr>
      </w:pPr>
      <w:r>
        <w:rPr>
          <w:lang w:val="en-GB"/>
        </w:rPr>
        <w:t>Further, t</w:t>
      </w:r>
      <w:r w:rsidR="00016323" w:rsidRPr="00016323">
        <w:rPr>
          <w:lang w:val="en-GB"/>
        </w:rPr>
        <w:t>he parties, including the</w:t>
      </w:r>
      <w:r w:rsidR="00C97693">
        <w:rPr>
          <w:lang w:val="en-GB"/>
        </w:rPr>
        <w:t xml:space="preserve"> Seller</w:t>
      </w:r>
      <w:r w:rsidR="00016323" w:rsidRPr="00016323">
        <w:rPr>
          <w:lang w:val="en-GB"/>
        </w:rPr>
        <w:t>, expressly agreed that the Vopak BLs would play no role in facilitating the delivery of the bunkers to the Buyers or their order</w:t>
      </w:r>
      <w:r w:rsidR="003F4C93">
        <w:rPr>
          <w:lang w:val="en-GB"/>
        </w:rPr>
        <w:t>.</w:t>
      </w:r>
      <w:r w:rsidR="00BA046C">
        <w:rPr>
          <w:lang w:val="en-GB"/>
        </w:rPr>
        <w:t xml:space="preserve"> </w:t>
      </w:r>
      <w:r w:rsidR="00BA046C" w:rsidRPr="00BA046C">
        <w:rPr>
          <w:lang w:val="en-GB"/>
        </w:rPr>
        <w:t xml:space="preserve">The risk of non-payment thus arose as a direct election by the </w:t>
      </w:r>
      <w:r w:rsidR="00BA046C">
        <w:rPr>
          <w:lang w:val="en-GB"/>
        </w:rPr>
        <w:t>Seller</w:t>
      </w:r>
      <w:r w:rsidR="00BA046C" w:rsidRPr="00BA046C">
        <w:rPr>
          <w:lang w:val="en-GB"/>
        </w:rPr>
        <w:t xml:space="preserve"> to extend credit and not to stipulate for the use of bills of lading under the underlying sale contracts.</w:t>
      </w:r>
      <w:r w:rsidR="002C517C">
        <w:rPr>
          <w:lang w:val="en-GB"/>
        </w:rPr>
        <w:t xml:space="preserve"> </w:t>
      </w:r>
      <w:r w:rsidR="002C517C" w:rsidRPr="002C517C">
        <w:rPr>
          <w:lang w:val="en-GB"/>
        </w:rPr>
        <w:t xml:space="preserve">It </w:t>
      </w:r>
      <w:r w:rsidR="002C517C">
        <w:rPr>
          <w:lang w:val="en-GB"/>
        </w:rPr>
        <w:t>was</w:t>
      </w:r>
      <w:r w:rsidR="002C517C" w:rsidRPr="002C517C">
        <w:rPr>
          <w:lang w:val="en-GB"/>
        </w:rPr>
        <w:t xml:space="preserve"> therefore absurd to suggest that the </w:t>
      </w:r>
      <w:r w:rsidR="002C517C">
        <w:rPr>
          <w:lang w:val="en-GB"/>
        </w:rPr>
        <w:t>Seller’s</w:t>
      </w:r>
      <w:r w:rsidR="002C517C" w:rsidRPr="002C517C">
        <w:rPr>
          <w:lang w:val="en-GB"/>
        </w:rPr>
        <w:t xml:space="preserve"> decision to accept the risk of non-payment by the Buyers could, in any way at all, result in the transfer of that risk to the carrier.</w:t>
      </w:r>
    </w:p>
    <w:p w14:paraId="5C063C3E" w14:textId="77777777" w:rsidR="002C517C" w:rsidRDefault="002C517C" w:rsidP="003030CD">
      <w:pPr>
        <w:pStyle w:val="Heading2"/>
        <w:widowControl w:val="0"/>
        <w:numPr>
          <w:ilvl w:val="0"/>
          <w:numId w:val="0"/>
        </w:numPr>
        <w:rPr>
          <w:lang w:val="en-GB"/>
        </w:rPr>
      </w:pPr>
    </w:p>
    <w:p w14:paraId="5434AD50" w14:textId="2DCFC18E" w:rsidR="00B87CEE" w:rsidRPr="007B327B" w:rsidRDefault="003C0DF1" w:rsidP="003030CD">
      <w:pPr>
        <w:pStyle w:val="Heading2"/>
        <w:widowControl w:val="0"/>
        <w:numPr>
          <w:ilvl w:val="0"/>
          <w:numId w:val="0"/>
        </w:numPr>
        <w:rPr>
          <w:lang w:val="en-GB"/>
        </w:rPr>
      </w:pPr>
      <w:r w:rsidRPr="005E62D2">
        <w:rPr>
          <w:lang w:val="en-GB"/>
        </w:rPr>
        <w:t xml:space="preserve">It was </w:t>
      </w:r>
      <w:r w:rsidR="004D3784">
        <w:rPr>
          <w:lang w:val="en-GB"/>
        </w:rPr>
        <w:t xml:space="preserve">also </w:t>
      </w:r>
      <w:r w:rsidRPr="005E62D2">
        <w:rPr>
          <w:lang w:val="en-GB"/>
        </w:rPr>
        <w:t xml:space="preserve">untenable for </w:t>
      </w:r>
      <w:r w:rsidR="001005C9">
        <w:rPr>
          <w:lang w:val="en-GB"/>
        </w:rPr>
        <w:t>the Seller</w:t>
      </w:r>
      <w:r w:rsidRPr="005E62D2">
        <w:rPr>
          <w:lang w:val="en-GB"/>
        </w:rPr>
        <w:t xml:space="preserve"> to suggest that the </w:t>
      </w:r>
      <w:r w:rsidRPr="00B362D6">
        <w:rPr>
          <w:lang w:val="en-GB"/>
        </w:rPr>
        <w:t>Charterers</w:t>
      </w:r>
      <w:r w:rsidRPr="005E62D2">
        <w:rPr>
          <w:lang w:val="en-GB"/>
        </w:rPr>
        <w:t xml:space="preserve"> agreed to assume the risk of non-payment by the Buyers. </w:t>
      </w:r>
      <w:r w:rsidR="00482A62" w:rsidRPr="009930A3">
        <w:rPr>
          <w:lang w:val="en-GB"/>
        </w:rPr>
        <w:t xml:space="preserve">This would effectively mean that the </w:t>
      </w:r>
      <w:r w:rsidR="00482A62" w:rsidRPr="00B362D6">
        <w:rPr>
          <w:lang w:val="en-GB"/>
        </w:rPr>
        <w:t>Charterers</w:t>
      </w:r>
      <w:r w:rsidR="00482A62" w:rsidRPr="009930A3">
        <w:rPr>
          <w:lang w:val="en-GB"/>
        </w:rPr>
        <w:t xml:space="preserve"> had agreed to a situation whereby they would be in breach of their obligations to the </w:t>
      </w:r>
      <w:r w:rsidR="00482A62">
        <w:rPr>
          <w:lang w:val="en-GB"/>
        </w:rPr>
        <w:t>Seller</w:t>
      </w:r>
      <w:r w:rsidR="00482A62" w:rsidRPr="009930A3">
        <w:rPr>
          <w:lang w:val="en-GB"/>
        </w:rPr>
        <w:t xml:space="preserve"> under the presentation rule in every case.</w:t>
      </w:r>
      <w:r w:rsidR="00482A62">
        <w:rPr>
          <w:lang w:val="en-GB"/>
        </w:rPr>
        <w:t xml:space="preserve"> </w:t>
      </w:r>
      <w:r w:rsidR="000C75D6">
        <w:rPr>
          <w:lang w:val="en-GB"/>
        </w:rPr>
        <w:t>T</w:t>
      </w:r>
      <w:r w:rsidRPr="005E62D2">
        <w:rPr>
          <w:lang w:val="en-GB"/>
        </w:rPr>
        <w:t xml:space="preserve">he </w:t>
      </w:r>
      <w:r w:rsidRPr="00B362D6">
        <w:rPr>
          <w:lang w:val="en-GB"/>
        </w:rPr>
        <w:t>Charterers</w:t>
      </w:r>
      <w:r w:rsidR="000C75D6">
        <w:rPr>
          <w:lang w:val="en-GB"/>
        </w:rPr>
        <w:t xml:space="preserve"> were merely</w:t>
      </w:r>
      <w:r w:rsidRPr="005E62D2">
        <w:rPr>
          <w:lang w:val="en-GB"/>
        </w:rPr>
        <w:t xml:space="preserve"> </w:t>
      </w:r>
      <w:r w:rsidR="00F16B8A" w:rsidRPr="005E62D2">
        <w:rPr>
          <w:lang w:val="en-GB"/>
        </w:rPr>
        <w:t>carriers and</w:t>
      </w:r>
      <w:r w:rsidR="000C75D6">
        <w:rPr>
          <w:lang w:val="en-GB"/>
        </w:rPr>
        <w:t xml:space="preserve"> </w:t>
      </w:r>
      <w:r w:rsidRPr="005E62D2">
        <w:rPr>
          <w:lang w:val="en-GB"/>
        </w:rPr>
        <w:t xml:space="preserve">had no reason to assume the risk of non-payment by the Buyers under </w:t>
      </w:r>
      <w:r>
        <w:rPr>
          <w:lang w:val="en-GB"/>
        </w:rPr>
        <w:t xml:space="preserve">a </w:t>
      </w:r>
      <w:r w:rsidRPr="005E62D2">
        <w:rPr>
          <w:lang w:val="en-GB"/>
        </w:rPr>
        <w:t>separate contract to which they were not a party.</w:t>
      </w:r>
      <w:r w:rsidR="009930A3">
        <w:rPr>
          <w:lang w:val="en-GB"/>
        </w:rPr>
        <w:t xml:space="preserve"> </w:t>
      </w:r>
    </w:p>
    <w:p w14:paraId="6FFB14AB" w14:textId="77777777" w:rsidR="00D6257F" w:rsidRPr="007B327B" w:rsidRDefault="00D6257F" w:rsidP="003030CD">
      <w:pPr>
        <w:widowControl w:val="0"/>
        <w:rPr>
          <w:lang w:val="en-GB"/>
        </w:rPr>
      </w:pPr>
    </w:p>
    <w:p w14:paraId="720AE028" w14:textId="288F246E" w:rsidR="00F16166" w:rsidRPr="00697B09" w:rsidRDefault="00637660" w:rsidP="003030CD">
      <w:pPr>
        <w:pStyle w:val="Heading2"/>
        <w:widowControl w:val="0"/>
        <w:numPr>
          <w:ilvl w:val="0"/>
          <w:numId w:val="0"/>
        </w:numPr>
        <w:rPr>
          <w:lang w:val="en-GB"/>
        </w:rPr>
      </w:pPr>
      <w:r>
        <w:rPr>
          <w:lang w:val="en-GB"/>
        </w:rPr>
        <w:t>T</w:t>
      </w:r>
      <w:r w:rsidR="00CD298D">
        <w:rPr>
          <w:lang w:val="en-GB"/>
        </w:rPr>
        <w:t>he</w:t>
      </w:r>
      <w:r w:rsidR="00F16166" w:rsidRPr="00697B09">
        <w:rPr>
          <w:lang w:val="en-GB"/>
        </w:rPr>
        <w:t xml:space="preserve"> </w:t>
      </w:r>
      <w:r w:rsidR="006B351E">
        <w:rPr>
          <w:lang w:val="en-GB"/>
        </w:rPr>
        <w:t>CA</w:t>
      </w:r>
      <w:r w:rsidR="00F16166" w:rsidRPr="00697B09">
        <w:rPr>
          <w:lang w:val="en-GB"/>
        </w:rPr>
        <w:t xml:space="preserve"> </w:t>
      </w:r>
      <w:r>
        <w:rPr>
          <w:lang w:val="en-GB"/>
        </w:rPr>
        <w:t>therefore</w:t>
      </w:r>
      <w:r w:rsidR="00F16166" w:rsidRPr="00697B09">
        <w:rPr>
          <w:lang w:val="en-GB"/>
        </w:rPr>
        <w:t xml:space="preserve"> held that the </w:t>
      </w:r>
      <w:r w:rsidR="003C180F" w:rsidRPr="00697B09">
        <w:rPr>
          <w:lang w:val="en-GB"/>
        </w:rPr>
        <w:t>V</w:t>
      </w:r>
      <w:r w:rsidR="006B351E">
        <w:rPr>
          <w:lang w:val="en-GB"/>
        </w:rPr>
        <w:t xml:space="preserve">opak </w:t>
      </w:r>
      <w:r w:rsidR="003C180F" w:rsidRPr="00697B09">
        <w:rPr>
          <w:lang w:val="en-GB"/>
        </w:rPr>
        <w:t xml:space="preserve">BLs were not documents of </w:t>
      </w:r>
      <w:r w:rsidR="006B351E">
        <w:rPr>
          <w:lang w:val="en-GB"/>
        </w:rPr>
        <w:t>title</w:t>
      </w:r>
      <w:r w:rsidR="003C180F" w:rsidRPr="00697B09">
        <w:rPr>
          <w:lang w:val="en-GB"/>
        </w:rPr>
        <w:t xml:space="preserve"> as </w:t>
      </w:r>
      <w:r w:rsidR="00082A82" w:rsidRPr="00697B09">
        <w:rPr>
          <w:lang w:val="en-GB"/>
        </w:rPr>
        <w:t>they</w:t>
      </w:r>
      <w:r w:rsidR="003C180F" w:rsidRPr="00697B09">
        <w:rPr>
          <w:lang w:val="en-GB"/>
        </w:rPr>
        <w:t xml:space="preserve"> did not and could not serve the traditional functions of bills of lading.</w:t>
      </w:r>
      <w:r w:rsidR="00555F4A" w:rsidRPr="00697B09">
        <w:rPr>
          <w:lang w:val="en-GB"/>
        </w:rPr>
        <w:t xml:space="preserve"> </w:t>
      </w:r>
    </w:p>
    <w:p w14:paraId="5C2B88A0" w14:textId="1B4EB3F0" w:rsidR="001A7B1A" w:rsidRPr="007B327B" w:rsidRDefault="001A7B1A" w:rsidP="003030CD">
      <w:pPr>
        <w:pStyle w:val="Heading2"/>
        <w:widowControl w:val="0"/>
        <w:numPr>
          <w:ilvl w:val="0"/>
          <w:numId w:val="0"/>
        </w:numPr>
        <w:rPr>
          <w:lang w:val="en-GB"/>
        </w:rPr>
      </w:pPr>
    </w:p>
    <w:p w14:paraId="7A50E98F" w14:textId="416E0589" w:rsidR="003F3424" w:rsidRPr="008C4F1E" w:rsidRDefault="003F3424" w:rsidP="003030CD">
      <w:pPr>
        <w:pStyle w:val="Heading1"/>
        <w:widowControl w:val="0"/>
        <w:ind w:left="567" w:hanging="567"/>
        <w:rPr>
          <w:lang w:val="en-GB"/>
        </w:rPr>
      </w:pPr>
      <w:r w:rsidRPr="008C4F1E">
        <w:rPr>
          <w:lang w:val="en-GB"/>
        </w:rPr>
        <w:t>Lessons Learnt</w:t>
      </w:r>
    </w:p>
    <w:p w14:paraId="7CE854B0" w14:textId="15B9DF8C" w:rsidR="00B362D6" w:rsidRDefault="00332BB6" w:rsidP="003030CD">
      <w:pPr>
        <w:pStyle w:val="Heading2"/>
        <w:widowControl w:val="0"/>
        <w:numPr>
          <w:ilvl w:val="0"/>
          <w:numId w:val="0"/>
        </w:numPr>
        <w:rPr>
          <w:lang w:val="en-GB"/>
        </w:rPr>
      </w:pPr>
      <w:r w:rsidRPr="007B327B">
        <w:rPr>
          <w:i/>
          <w:iCs/>
          <w:lang w:val="en-GB"/>
        </w:rPr>
        <w:t>The Luna</w:t>
      </w:r>
      <w:r w:rsidRPr="007B327B">
        <w:rPr>
          <w:lang w:val="en-GB"/>
        </w:rPr>
        <w:t xml:space="preserve"> </w:t>
      </w:r>
      <w:r w:rsidR="00915394">
        <w:rPr>
          <w:lang w:val="en-GB"/>
        </w:rPr>
        <w:t xml:space="preserve">is a case </w:t>
      </w:r>
      <w:r w:rsidR="000F6607">
        <w:rPr>
          <w:lang w:val="en-GB"/>
        </w:rPr>
        <w:t>that</w:t>
      </w:r>
      <w:r w:rsidR="00915394">
        <w:rPr>
          <w:lang w:val="en-GB"/>
        </w:rPr>
        <w:t xml:space="preserve"> encapsulate</w:t>
      </w:r>
      <w:r w:rsidR="000F6607">
        <w:rPr>
          <w:lang w:val="en-GB"/>
        </w:rPr>
        <w:t>s</w:t>
      </w:r>
      <w:r w:rsidR="004A1A7F">
        <w:rPr>
          <w:lang w:val="en-GB"/>
        </w:rPr>
        <w:t xml:space="preserve"> principles of contractual formation and interpretation applied in </w:t>
      </w:r>
      <w:r w:rsidR="00770BBB">
        <w:rPr>
          <w:lang w:val="en-GB"/>
        </w:rPr>
        <w:t xml:space="preserve">the context of </w:t>
      </w:r>
      <w:r w:rsidR="001F2ABE">
        <w:rPr>
          <w:lang w:val="en-GB"/>
        </w:rPr>
        <w:t>sea carriage.</w:t>
      </w:r>
      <w:r w:rsidR="00F91D46" w:rsidRPr="007B327B">
        <w:rPr>
          <w:lang w:val="en-GB"/>
        </w:rPr>
        <w:t xml:space="preserve"> </w:t>
      </w:r>
      <w:r w:rsidR="00192084">
        <w:rPr>
          <w:lang w:val="en-GB"/>
        </w:rPr>
        <w:t xml:space="preserve">There are two main learning points in </w:t>
      </w:r>
      <w:r w:rsidR="00192084" w:rsidRPr="003B3F9F">
        <w:rPr>
          <w:i/>
          <w:iCs/>
          <w:lang w:val="en-GB"/>
        </w:rPr>
        <w:t>The Luna</w:t>
      </w:r>
      <w:r w:rsidR="00192084">
        <w:rPr>
          <w:lang w:val="en-GB"/>
        </w:rPr>
        <w:t xml:space="preserve">. </w:t>
      </w:r>
      <w:r w:rsidR="00192084" w:rsidRPr="002A6F6F">
        <w:rPr>
          <w:i/>
          <w:iCs/>
          <w:lang w:val="en-GB"/>
        </w:rPr>
        <w:t>First</w:t>
      </w:r>
      <w:r w:rsidR="00192084">
        <w:rPr>
          <w:lang w:val="en-GB"/>
        </w:rPr>
        <w:t>,</w:t>
      </w:r>
      <w:r w:rsidR="00272DBC">
        <w:rPr>
          <w:lang w:val="en-GB"/>
        </w:rPr>
        <w:t xml:space="preserve"> </w:t>
      </w:r>
      <w:r w:rsidR="00A1246A">
        <w:rPr>
          <w:lang w:val="en-GB"/>
        </w:rPr>
        <w:t>it is not advisable to</w:t>
      </w:r>
      <w:r w:rsidR="00272DBC" w:rsidRPr="00A1246A">
        <w:rPr>
          <w:lang w:val="en-GB"/>
        </w:rPr>
        <w:t xml:space="preserve"> draft the bill of lading in an atypical fashion</w:t>
      </w:r>
      <w:r w:rsidR="00F736A4">
        <w:rPr>
          <w:lang w:val="en-GB"/>
        </w:rPr>
        <w:t xml:space="preserve"> (as the parties did in this case)</w:t>
      </w:r>
      <w:r w:rsidR="00272DBC">
        <w:rPr>
          <w:lang w:val="en-GB"/>
        </w:rPr>
        <w:t xml:space="preserve">. </w:t>
      </w:r>
      <w:r w:rsidR="00272DBC" w:rsidRPr="003B3F9F">
        <w:rPr>
          <w:i/>
          <w:iCs/>
          <w:lang w:val="en-GB"/>
        </w:rPr>
        <w:t>Second</w:t>
      </w:r>
      <w:r w:rsidR="00272DBC">
        <w:rPr>
          <w:lang w:val="en-GB"/>
        </w:rPr>
        <w:t xml:space="preserve">, </w:t>
      </w:r>
      <w:r w:rsidR="00C527AA" w:rsidRPr="003B3F9F">
        <w:rPr>
          <w:lang w:val="en-GB"/>
        </w:rPr>
        <w:t>f</w:t>
      </w:r>
      <w:r w:rsidR="00AF5255" w:rsidRPr="003B3F9F">
        <w:rPr>
          <w:lang w:val="en-GB"/>
        </w:rPr>
        <w:t xml:space="preserve">or a bill of lading to be a document of title, the </w:t>
      </w:r>
      <w:r w:rsidR="002B79E0" w:rsidRPr="003B3F9F">
        <w:rPr>
          <w:lang w:val="en-GB"/>
        </w:rPr>
        <w:t xml:space="preserve">contracting </w:t>
      </w:r>
      <w:r w:rsidR="00AF5255" w:rsidRPr="003B3F9F">
        <w:rPr>
          <w:lang w:val="en-GB"/>
        </w:rPr>
        <w:t xml:space="preserve">parties must </w:t>
      </w:r>
      <w:r w:rsidR="00DF617F" w:rsidRPr="003B3F9F">
        <w:rPr>
          <w:lang w:val="en-GB"/>
        </w:rPr>
        <w:t xml:space="preserve">have </w:t>
      </w:r>
      <w:r w:rsidR="00AF5255" w:rsidRPr="003B3F9F">
        <w:rPr>
          <w:lang w:val="en-GB"/>
        </w:rPr>
        <w:t>intend</w:t>
      </w:r>
      <w:r w:rsidR="00DF617F" w:rsidRPr="003B3F9F">
        <w:rPr>
          <w:lang w:val="en-GB"/>
        </w:rPr>
        <w:t>ed</w:t>
      </w:r>
      <w:r w:rsidR="00AF5255" w:rsidRPr="003B3F9F">
        <w:rPr>
          <w:lang w:val="en-GB"/>
        </w:rPr>
        <w:t xml:space="preserve"> it to be as such from the beginning</w:t>
      </w:r>
      <w:r w:rsidR="00AF5255" w:rsidRPr="006B351E">
        <w:rPr>
          <w:lang w:val="en-GB"/>
        </w:rPr>
        <w:t xml:space="preserve">. </w:t>
      </w:r>
      <w:r w:rsidR="002B79E0" w:rsidRPr="006B351E">
        <w:rPr>
          <w:lang w:val="en-GB"/>
        </w:rPr>
        <w:t>Contracting parties</w:t>
      </w:r>
      <w:r w:rsidR="00AF5255" w:rsidRPr="006B351E">
        <w:rPr>
          <w:lang w:val="en-GB"/>
        </w:rPr>
        <w:t xml:space="preserve"> cannot simply claim that it is a document of title</w:t>
      </w:r>
      <w:r w:rsidR="003465D0" w:rsidRPr="006B351E">
        <w:rPr>
          <w:lang w:val="en-GB"/>
        </w:rPr>
        <w:t xml:space="preserve"> to recoup their losses and repossess their goods</w:t>
      </w:r>
      <w:r w:rsidR="00224EEA" w:rsidRPr="006B351E">
        <w:rPr>
          <w:lang w:val="en-GB"/>
        </w:rPr>
        <w:t xml:space="preserve"> </w:t>
      </w:r>
      <w:r w:rsidR="00B43C91">
        <w:rPr>
          <w:lang w:val="en-GB"/>
        </w:rPr>
        <w:t>when trouble occurs</w:t>
      </w:r>
      <w:r w:rsidR="008264CB" w:rsidRPr="006B351E">
        <w:rPr>
          <w:lang w:val="en-GB"/>
        </w:rPr>
        <w:t xml:space="preserve">. This would </w:t>
      </w:r>
      <w:r w:rsidR="006B351E">
        <w:rPr>
          <w:lang w:val="en-GB"/>
        </w:rPr>
        <w:t xml:space="preserve">create an onerous outcome that would shift the burden of the buyers’ </w:t>
      </w:r>
      <w:r w:rsidR="009321ED">
        <w:rPr>
          <w:lang w:val="en-GB"/>
        </w:rPr>
        <w:t xml:space="preserve">non-payment </w:t>
      </w:r>
      <w:r w:rsidR="006B351E">
        <w:rPr>
          <w:lang w:val="en-GB"/>
        </w:rPr>
        <w:t>on</w:t>
      </w:r>
      <w:r w:rsidR="00C63BF0">
        <w:rPr>
          <w:lang w:val="en-GB"/>
        </w:rPr>
        <w:t>to</w:t>
      </w:r>
      <w:r w:rsidR="006B351E">
        <w:rPr>
          <w:lang w:val="en-GB"/>
        </w:rPr>
        <w:t xml:space="preserve"> charterers who are often </w:t>
      </w:r>
      <w:r w:rsidR="00192084">
        <w:rPr>
          <w:lang w:val="en-GB"/>
        </w:rPr>
        <w:t>not parties to the sale contract</w:t>
      </w:r>
      <w:r w:rsidR="006B351E">
        <w:rPr>
          <w:lang w:val="en-GB"/>
        </w:rPr>
        <w:t xml:space="preserve">. </w:t>
      </w:r>
    </w:p>
    <w:p w14:paraId="09A4C6C8" w14:textId="77777777" w:rsidR="00B362D6" w:rsidRPr="00866B45" w:rsidRDefault="00B362D6" w:rsidP="00191051">
      <w:pPr>
        <w:widowControl w:val="0"/>
        <w:pBdr>
          <w:bottom w:val="single" w:sz="12" w:space="1" w:color="auto"/>
        </w:pBdr>
        <w:autoSpaceDE w:val="0"/>
        <w:autoSpaceDN w:val="0"/>
      </w:pPr>
    </w:p>
    <w:p w14:paraId="116AA2C0" w14:textId="48BFD340" w:rsidR="00B362D6" w:rsidRPr="00D21A16" w:rsidRDefault="00B362D6" w:rsidP="00191051">
      <w:pPr>
        <w:pStyle w:val="FootnoteText"/>
        <w:widowControl w:val="0"/>
        <w:autoSpaceDE w:val="0"/>
        <w:autoSpaceDN w:val="0"/>
        <w:rPr>
          <w:rFonts w:ascii="Times New Roman" w:hAnsi="Times New Roman"/>
        </w:rPr>
      </w:pPr>
      <w:r w:rsidRPr="00D21A16">
        <w:rPr>
          <w:rFonts w:ascii="Times New Roman" w:hAnsi="Times New Roman"/>
        </w:rPr>
        <w:t xml:space="preserve">Written by: Alexis Lok </w:t>
      </w:r>
      <w:proofErr w:type="spellStart"/>
      <w:r w:rsidRPr="00D21A16">
        <w:rPr>
          <w:rFonts w:ascii="Times New Roman" w:hAnsi="Times New Roman"/>
        </w:rPr>
        <w:t>Kaixin</w:t>
      </w:r>
      <w:proofErr w:type="spellEnd"/>
      <w:r w:rsidRPr="00D21A16">
        <w:rPr>
          <w:rFonts w:ascii="Times New Roman" w:hAnsi="Times New Roman"/>
        </w:rPr>
        <w:t xml:space="preserve">, </w:t>
      </w:r>
      <w:r w:rsidR="00C35533" w:rsidRPr="00D21A16">
        <w:rPr>
          <w:rFonts w:ascii="Times New Roman" w:hAnsi="Times New Roman"/>
        </w:rPr>
        <w:t>3rd</w:t>
      </w:r>
      <w:r w:rsidRPr="00D21A16">
        <w:rPr>
          <w:rFonts w:ascii="Times New Roman" w:hAnsi="Times New Roman"/>
        </w:rPr>
        <w:t xml:space="preserve">-Year LLB student, Singapore Management University Yong </w:t>
      </w:r>
      <w:proofErr w:type="spellStart"/>
      <w:r w:rsidRPr="00D21A16">
        <w:rPr>
          <w:rFonts w:ascii="Times New Roman" w:hAnsi="Times New Roman"/>
        </w:rPr>
        <w:t>Pung</w:t>
      </w:r>
      <w:proofErr w:type="spellEnd"/>
      <w:r w:rsidRPr="00D21A16">
        <w:rPr>
          <w:rFonts w:ascii="Times New Roman" w:hAnsi="Times New Roman"/>
        </w:rPr>
        <w:t xml:space="preserve"> How School of Law. </w:t>
      </w:r>
    </w:p>
    <w:p w14:paraId="42F26D27" w14:textId="499CB724" w:rsidR="00B362D6" w:rsidRPr="00D21A16" w:rsidRDefault="00B362D6" w:rsidP="00191051">
      <w:pPr>
        <w:pStyle w:val="FootnoteText"/>
        <w:widowControl w:val="0"/>
        <w:autoSpaceDE w:val="0"/>
        <w:autoSpaceDN w:val="0"/>
        <w:rPr>
          <w:rFonts w:ascii="Times New Roman" w:hAnsi="Times New Roman"/>
        </w:rPr>
      </w:pPr>
      <w:r w:rsidRPr="00D21A16">
        <w:rPr>
          <w:rFonts w:ascii="Times New Roman" w:hAnsi="Times New Roman"/>
        </w:rPr>
        <w:t xml:space="preserve">Edited by: </w:t>
      </w:r>
      <w:r w:rsidR="002A6F6F">
        <w:rPr>
          <w:rFonts w:ascii="Times New Roman" w:hAnsi="Times New Roman"/>
        </w:rPr>
        <w:t>Faculty</w:t>
      </w:r>
      <w:r w:rsidRPr="00D21A16">
        <w:rPr>
          <w:rFonts w:ascii="Times New Roman" w:hAnsi="Times New Roman"/>
        </w:rPr>
        <w:t xml:space="preserve">, Singapore Management University Yong </w:t>
      </w:r>
      <w:proofErr w:type="spellStart"/>
      <w:r w:rsidRPr="00D21A16">
        <w:rPr>
          <w:rFonts w:ascii="Times New Roman" w:hAnsi="Times New Roman"/>
        </w:rPr>
        <w:t>Pung</w:t>
      </w:r>
      <w:proofErr w:type="spellEnd"/>
      <w:r w:rsidRPr="00D21A16">
        <w:rPr>
          <w:rFonts w:ascii="Times New Roman" w:hAnsi="Times New Roman"/>
        </w:rPr>
        <w:t xml:space="preserve"> How School of Law.</w:t>
      </w:r>
    </w:p>
    <w:p w14:paraId="69523CFE" w14:textId="77777777" w:rsidR="00B362D6" w:rsidRPr="009F0526" w:rsidRDefault="00B362D6" w:rsidP="00191051">
      <w:pPr>
        <w:widowControl w:val="0"/>
      </w:pPr>
    </w:p>
    <w:p w14:paraId="12FAD596" w14:textId="77777777" w:rsidR="00B362D6" w:rsidRPr="00903692" w:rsidRDefault="00B362D6" w:rsidP="003030CD">
      <w:pPr>
        <w:widowControl w:val="0"/>
      </w:pPr>
    </w:p>
    <w:p w14:paraId="1E80B53F" w14:textId="77777777" w:rsidR="00B362D6" w:rsidRPr="00BC3C6B" w:rsidRDefault="00B362D6" w:rsidP="003030CD">
      <w:pPr>
        <w:widowControl w:val="0"/>
      </w:pPr>
    </w:p>
    <w:sectPr w:rsidR="00B362D6" w:rsidRPr="00BC3C6B" w:rsidSect="00B06C40">
      <w:headerReference w:type="default" r:id="rId8"/>
      <w:footerReference w:type="even" r:id="rId9"/>
      <w:footerReference w:type="default" r:id="rId10"/>
      <w:pgSz w:w="11906" w:h="16838"/>
      <w:pgMar w:top="1134" w:right="1134" w:bottom="1134" w:left="1134"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374B" w14:textId="77777777" w:rsidR="00502CFF" w:rsidRDefault="00502CFF" w:rsidP="001A7B1A">
      <w:r>
        <w:separator/>
      </w:r>
    </w:p>
  </w:endnote>
  <w:endnote w:type="continuationSeparator" w:id="0">
    <w:p w14:paraId="4D475E26" w14:textId="77777777" w:rsidR="00502CFF" w:rsidRDefault="00502CFF" w:rsidP="001A7B1A">
      <w:r>
        <w:continuationSeparator/>
      </w:r>
    </w:p>
  </w:endnote>
  <w:endnote w:type="continuationNotice" w:id="1">
    <w:p w14:paraId="33DB571E" w14:textId="77777777" w:rsidR="00502CFF" w:rsidRDefault="00502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DFD1" w14:textId="6EAF9ADD" w:rsidR="005913D0" w:rsidRDefault="00937402">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E73B1F">
      <w:rPr>
        <w:noProof/>
        <w:color w:val="000000"/>
      </w:rPr>
      <w:t>2</w:t>
    </w:r>
    <w:r>
      <w:rPr>
        <w:color w:val="000000"/>
      </w:rPr>
      <w:fldChar w:fldCharType="end"/>
    </w:r>
  </w:p>
  <w:p w14:paraId="42524791" w14:textId="77777777" w:rsidR="005913D0" w:rsidRDefault="00000000">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A250" w14:textId="77777777" w:rsidR="005913D0" w:rsidRPr="00E73B1F" w:rsidRDefault="00937402">
    <w:pPr>
      <w:pBdr>
        <w:top w:val="nil"/>
        <w:left w:val="nil"/>
        <w:bottom w:val="nil"/>
        <w:right w:val="nil"/>
        <w:between w:val="nil"/>
      </w:pBdr>
      <w:tabs>
        <w:tab w:val="center" w:pos="4513"/>
        <w:tab w:val="right" w:pos="9026"/>
      </w:tabs>
      <w:jc w:val="right"/>
      <w:rPr>
        <w:color w:val="000000"/>
      </w:rPr>
    </w:pPr>
    <w:r w:rsidRPr="00E73B1F">
      <w:rPr>
        <w:color w:val="000000"/>
      </w:rPr>
      <w:fldChar w:fldCharType="begin"/>
    </w:r>
    <w:r w:rsidRPr="00E73B1F">
      <w:rPr>
        <w:color w:val="000000"/>
      </w:rPr>
      <w:instrText>PAGE</w:instrText>
    </w:r>
    <w:r w:rsidRPr="00E73B1F">
      <w:rPr>
        <w:color w:val="000000"/>
      </w:rPr>
      <w:fldChar w:fldCharType="separate"/>
    </w:r>
    <w:r w:rsidRPr="00E73B1F">
      <w:rPr>
        <w:noProof/>
        <w:color w:val="000000"/>
      </w:rPr>
      <w:t>1</w:t>
    </w:r>
    <w:r w:rsidRPr="00E73B1F">
      <w:rPr>
        <w:color w:val="000000"/>
      </w:rPr>
      <w:fldChar w:fldCharType="end"/>
    </w:r>
  </w:p>
  <w:p w14:paraId="3215CC54" w14:textId="77777777" w:rsidR="005913D0" w:rsidRDefault="00000000">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2234C" w14:textId="77777777" w:rsidR="00502CFF" w:rsidRDefault="00502CFF" w:rsidP="001A7B1A">
      <w:r>
        <w:separator/>
      </w:r>
    </w:p>
  </w:footnote>
  <w:footnote w:type="continuationSeparator" w:id="0">
    <w:p w14:paraId="60D3E455" w14:textId="77777777" w:rsidR="00502CFF" w:rsidRDefault="00502CFF" w:rsidP="001A7B1A">
      <w:r>
        <w:continuationSeparator/>
      </w:r>
    </w:p>
  </w:footnote>
  <w:footnote w:type="continuationNotice" w:id="1">
    <w:p w14:paraId="52A3386B" w14:textId="77777777" w:rsidR="00502CFF" w:rsidRDefault="00502CFF"/>
  </w:footnote>
  <w:footnote w:id="2">
    <w:p w14:paraId="59C161D8" w14:textId="4B09BEF8" w:rsidR="0021172C" w:rsidRPr="0039675F" w:rsidRDefault="0021172C" w:rsidP="00343453">
      <w:pPr>
        <w:pStyle w:val="FootnoteText"/>
        <w:ind w:left="284" w:hanging="284"/>
        <w:rPr>
          <w:rFonts w:ascii="Times New Roman" w:hAnsi="Times New Roman"/>
        </w:rPr>
      </w:pPr>
      <w:r w:rsidRPr="0039675F">
        <w:rPr>
          <w:rStyle w:val="FootnoteReference"/>
          <w:rFonts w:ascii="Times New Roman" w:hAnsi="Times New Roman"/>
        </w:rPr>
        <w:footnoteRef/>
      </w:r>
      <w:r w:rsidRPr="0039675F">
        <w:rPr>
          <w:rFonts w:ascii="Times New Roman" w:hAnsi="Times New Roman"/>
        </w:rPr>
        <w:t xml:space="preserve"> </w:t>
      </w:r>
      <w:r w:rsidR="00E30ED7">
        <w:rPr>
          <w:rFonts w:ascii="Times New Roman" w:hAnsi="Times New Roman"/>
        </w:rPr>
        <w:tab/>
      </w:r>
      <w:r w:rsidRPr="0039675F">
        <w:rPr>
          <w:rFonts w:ascii="Times New Roman" w:hAnsi="Times New Roman"/>
        </w:rPr>
        <w:t>T</w:t>
      </w:r>
      <w:r w:rsidR="00C42EDA" w:rsidRPr="0039675F">
        <w:rPr>
          <w:rFonts w:ascii="Times New Roman" w:hAnsi="Times New Roman"/>
        </w:rPr>
        <w:t>he CA also addressed the parties’ other claims, including the Seller’s claim in bailment</w:t>
      </w:r>
      <w:r w:rsidR="000F2094" w:rsidRPr="0039675F">
        <w:rPr>
          <w:rFonts w:ascii="Times New Roman" w:hAnsi="Times New Roman"/>
        </w:rPr>
        <w:t xml:space="preserve"> and negligent misrepresentation</w:t>
      </w:r>
      <w:r w:rsidR="00230496">
        <w:rPr>
          <w:rFonts w:ascii="Times New Roman" w:hAnsi="Times New Roman"/>
        </w:rPr>
        <w:t xml:space="preserve">, and the </w:t>
      </w:r>
      <w:r w:rsidR="00230496" w:rsidRPr="008C4F1E">
        <w:rPr>
          <w:rFonts w:ascii="Times New Roman" w:hAnsi="Times New Roman"/>
        </w:rPr>
        <w:t>Charterers</w:t>
      </w:r>
      <w:r w:rsidR="00FB0081">
        <w:rPr>
          <w:rFonts w:ascii="Times New Roman" w:hAnsi="Times New Roman"/>
        </w:rPr>
        <w:t>’</w:t>
      </w:r>
      <w:r w:rsidR="00230496">
        <w:rPr>
          <w:rFonts w:ascii="Times New Roman" w:hAnsi="Times New Roman"/>
        </w:rPr>
        <w:t xml:space="preserve"> claims for wrongful arrest</w:t>
      </w:r>
      <w:r w:rsidR="000F2094" w:rsidRPr="0039675F">
        <w:rPr>
          <w:rFonts w:ascii="Times New Roman" w:hAnsi="Times New Roman"/>
        </w:rPr>
        <w:t>.</w:t>
      </w:r>
      <w:r w:rsidR="00435A3F" w:rsidRPr="0039675F">
        <w:rPr>
          <w:rFonts w:ascii="Times New Roman" w:hAnsi="Times New Roman"/>
        </w:rPr>
        <w:t xml:space="preserve"> </w:t>
      </w:r>
      <w:r w:rsidR="00C42EDA" w:rsidRPr="0039675F">
        <w:rPr>
          <w:rFonts w:ascii="Times New Roman" w:hAnsi="Times New Roman"/>
        </w:rPr>
        <w:t xml:space="preserve"> </w:t>
      </w:r>
    </w:p>
  </w:footnote>
  <w:footnote w:id="3">
    <w:p w14:paraId="1770F7F8" w14:textId="6F00E49A" w:rsidR="002A2A6E" w:rsidRPr="008C4F1E" w:rsidRDefault="002A2A6E" w:rsidP="00343453">
      <w:pPr>
        <w:pStyle w:val="FootnoteText"/>
        <w:ind w:left="284" w:hanging="284"/>
        <w:rPr>
          <w:rFonts w:ascii="Times New Roman" w:hAnsi="Times New Roman"/>
        </w:rPr>
      </w:pPr>
      <w:r w:rsidRPr="008C4F1E">
        <w:rPr>
          <w:rStyle w:val="FootnoteReference"/>
          <w:rFonts w:ascii="Times New Roman" w:hAnsi="Times New Roman"/>
        </w:rPr>
        <w:footnoteRef/>
      </w:r>
      <w:r w:rsidRPr="008C4F1E">
        <w:rPr>
          <w:rFonts w:ascii="Times New Roman" w:hAnsi="Times New Roman"/>
        </w:rPr>
        <w:t xml:space="preserve"> </w:t>
      </w:r>
      <w:r w:rsidR="00E30ED7">
        <w:rPr>
          <w:rFonts w:ascii="Times New Roman" w:hAnsi="Times New Roman"/>
        </w:rPr>
        <w:tab/>
      </w:r>
      <w:r w:rsidRPr="008C4F1E">
        <w:rPr>
          <w:rFonts w:ascii="Times New Roman" w:hAnsi="Times New Roman"/>
        </w:rPr>
        <w:t xml:space="preserve">OW Bunker was one of the world’s largest bunker suppliers prior to its insolvency in 2014. </w:t>
      </w:r>
    </w:p>
  </w:footnote>
  <w:footnote w:id="4">
    <w:p w14:paraId="422D86B3" w14:textId="1557E23B" w:rsidR="00331DD3" w:rsidRPr="00435A3F" w:rsidRDefault="00331DD3" w:rsidP="00343453">
      <w:pPr>
        <w:pStyle w:val="FootnoteText"/>
        <w:ind w:left="284" w:hanging="284"/>
        <w:rPr>
          <w:rFonts w:ascii="Times New Roman" w:hAnsi="Times New Roman"/>
          <w:lang w:val="en-US"/>
        </w:rPr>
      </w:pPr>
      <w:r w:rsidRPr="00435A3F">
        <w:rPr>
          <w:rStyle w:val="FootnoteReference"/>
          <w:rFonts w:ascii="Times New Roman" w:hAnsi="Times New Roman"/>
        </w:rPr>
        <w:footnoteRef/>
      </w:r>
      <w:r w:rsidRPr="00435A3F">
        <w:rPr>
          <w:rFonts w:ascii="Times New Roman" w:hAnsi="Times New Roman"/>
        </w:rPr>
        <w:t xml:space="preserve"> </w:t>
      </w:r>
      <w:r w:rsidR="00E30ED7">
        <w:rPr>
          <w:rFonts w:ascii="Times New Roman" w:hAnsi="Times New Roman"/>
        </w:rPr>
        <w:tab/>
      </w:r>
      <w:r w:rsidRPr="00435A3F">
        <w:rPr>
          <w:rFonts w:ascii="Times New Roman" w:hAnsi="Times New Roman"/>
        </w:rPr>
        <w:t>In such situations, the buyer is responsible for shipping</w:t>
      </w:r>
      <w:r w:rsidR="0084792C" w:rsidRPr="00435A3F">
        <w:rPr>
          <w:rFonts w:ascii="Times New Roman" w:hAnsi="Times New Roman"/>
        </w:rPr>
        <w:t xml:space="preserve">, insurance and other costs </w:t>
      </w:r>
      <w:r w:rsidRPr="00435A3F">
        <w:rPr>
          <w:rFonts w:ascii="Times New Roman" w:hAnsi="Times New Roman"/>
        </w:rPr>
        <w:t>as soon as the goods are loaded onto the vessel and during the voyage.</w:t>
      </w:r>
    </w:p>
  </w:footnote>
  <w:footnote w:id="5">
    <w:p w14:paraId="772611FE" w14:textId="77777777" w:rsidR="00EC0A4B" w:rsidRPr="00435A3F" w:rsidRDefault="00EC0A4B" w:rsidP="00343453">
      <w:pPr>
        <w:pStyle w:val="FootnoteText"/>
        <w:ind w:left="284" w:hanging="284"/>
        <w:rPr>
          <w:rFonts w:ascii="Times New Roman" w:hAnsi="Times New Roman"/>
        </w:rPr>
      </w:pPr>
      <w:r w:rsidRPr="008C4F1E">
        <w:rPr>
          <w:rStyle w:val="FootnoteReference"/>
          <w:rFonts w:ascii="Times New Roman" w:hAnsi="Times New Roman"/>
        </w:rPr>
        <w:footnoteRef/>
      </w:r>
      <w:r w:rsidRPr="00435A3F">
        <w:rPr>
          <w:rFonts w:ascii="Times New Roman" w:hAnsi="Times New Roman"/>
        </w:rPr>
        <w:t xml:space="preserve"> </w:t>
      </w:r>
      <w:r>
        <w:rPr>
          <w:rFonts w:ascii="Times New Roman" w:hAnsi="Times New Roman"/>
        </w:rPr>
        <w:tab/>
      </w:r>
      <w:r w:rsidRPr="00435A3F">
        <w:rPr>
          <w:rFonts w:ascii="Times New Roman" w:hAnsi="Times New Roman"/>
        </w:rPr>
        <w:t>If the Vopak BLs were documents of title, then the Seller would be able to recover its losses. Conversely, if the Vopak BLs were merely acknowledgements of the receipt of the bunkers, the Seller would not be able to demand delivery of the bunkers from the Charterers or claim losses.</w:t>
      </w:r>
    </w:p>
  </w:footnote>
  <w:footnote w:id="6">
    <w:p w14:paraId="1A8DEAC6" w14:textId="6DBAB9BA" w:rsidR="007038EC" w:rsidRPr="003B0530" w:rsidRDefault="007038EC" w:rsidP="00343453">
      <w:pPr>
        <w:pStyle w:val="FootnoteText"/>
        <w:ind w:left="284" w:hanging="284"/>
        <w:rPr>
          <w:rFonts w:ascii="Times New Roman" w:hAnsi="Times New Roman"/>
          <w:lang w:val="en-US"/>
        </w:rPr>
      </w:pPr>
      <w:r w:rsidRPr="00435A3F">
        <w:rPr>
          <w:rStyle w:val="FootnoteReference"/>
          <w:rFonts w:ascii="Times New Roman" w:hAnsi="Times New Roman"/>
        </w:rPr>
        <w:footnoteRef/>
      </w:r>
      <w:r w:rsidRPr="00435A3F">
        <w:rPr>
          <w:rFonts w:ascii="Times New Roman" w:hAnsi="Times New Roman"/>
        </w:rPr>
        <w:t xml:space="preserve"> </w:t>
      </w:r>
      <w:r w:rsidR="00EC57D4">
        <w:rPr>
          <w:rFonts w:ascii="Times New Roman" w:hAnsi="Times New Roman"/>
        </w:rPr>
        <w:tab/>
      </w:r>
      <w:r w:rsidR="000A4A01" w:rsidRPr="003B0530">
        <w:rPr>
          <w:rFonts w:ascii="Times New Roman" w:hAnsi="Times New Roman"/>
        </w:rPr>
        <w:t>The</w:t>
      </w:r>
      <w:r w:rsidRPr="00435A3F">
        <w:rPr>
          <w:rFonts w:ascii="Times New Roman" w:hAnsi="Times New Roman"/>
        </w:rPr>
        <w:t xml:space="preserve"> </w:t>
      </w:r>
      <w:r w:rsidR="00B0300B">
        <w:rPr>
          <w:rFonts w:ascii="Times New Roman" w:hAnsi="Times New Roman"/>
        </w:rPr>
        <w:t>CQ</w:t>
      </w:r>
      <w:r w:rsidRPr="00435A3F">
        <w:rPr>
          <w:rFonts w:ascii="Times New Roman" w:hAnsi="Times New Roman"/>
        </w:rPr>
        <w:t xml:space="preserve"> reflected the aggregate amount of bunkers loaded in each shipment.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81C7" w14:textId="77777777" w:rsidR="004661A4" w:rsidRDefault="00466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BD3"/>
    <w:multiLevelType w:val="hybridMultilevel"/>
    <w:tmpl w:val="5AA4A2AC"/>
    <w:lvl w:ilvl="0" w:tplc="10364A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07F4F"/>
    <w:multiLevelType w:val="hybridMultilevel"/>
    <w:tmpl w:val="BD027E06"/>
    <w:lvl w:ilvl="0" w:tplc="579465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C2F42"/>
    <w:multiLevelType w:val="hybridMultilevel"/>
    <w:tmpl w:val="74567A90"/>
    <w:lvl w:ilvl="0" w:tplc="DEC82DE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9074D"/>
    <w:multiLevelType w:val="hybridMultilevel"/>
    <w:tmpl w:val="BD9465AC"/>
    <w:lvl w:ilvl="0" w:tplc="74B83C6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D29D7"/>
    <w:multiLevelType w:val="hybridMultilevel"/>
    <w:tmpl w:val="0B6EE6A2"/>
    <w:lvl w:ilvl="0" w:tplc="5D96C2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47A58"/>
    <w:multiLevelType w:val="hybridMultilevel"/>
    <w:tmpl w:val="976EC83A"/>
    <w:lvl w:ilvl="0" w:tplc="53FC7B9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BD41CE"/>
    <w:multiLevelType w:val="hybridMultilevel"/>
    <w:tmpl w:val="842E405E"/>
    <w:lvl w:ilvl="0" w:tplc="AB1CF4FE">
      <w:start w:val="1"/>
      <w:numFmt w:val="lowerLetter"/>
      <w:pStyle w:val="Heading5"/>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79A733C"/>
    <w:multiLevelType w:val="hybridMultilevel"/>
    <w:tmpl w:val="6B18D2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92188"/>
    <w:multiLevelType w:val="hybridMultilevel"/>
    <w:tmpl w:val="EAA081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90AA0"/>
    <w:multiLevelType w:val="hybridMultilevel"/>
    <w:tmpl w:val="489CF990"/>
    <w:lvl w:ilvl="0" w:tplc="B6E6302A">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5A16AF"/>
    <w:multiLevelType w:val="hybridMultilevel"/>
    <w:tmpl w:val="6C80D2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D37FE2"/>
    <w:multiLevelType w:val="hybridMultilevel"/>
    <w:tmpl w:val="3ED257E2"/>
    <w:lvl w:ilvl="0" w:tplc="84B0BD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F31A3"/>
    <w:multiLevelType w:val="hybridMultilevel"/>
    <w:tmpl w:val="54B4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A6E1D"/>
    <w:multiLevelType w:val="hybridMultilevel"/>
    <w:tmpl w:val="21DA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512B2"/>
    <w:multiLevelType w:val="hybridMultilevel"/>
    <w:tmpl w:val="18D8920A"/>
    <w:lvl w:ilvl="0" w:tplc="27C8878C">
      <w:start w:val="1"/>
      <w:numFmt w:val="upperRoman"/>
      <w:pStyle w:val="Heading1"/>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E3714"/>
    <w:multiLevelType w:val="hybridMultilevel"/>
    <w:tmpl w:val="24DA099A"/>
    <w:lvl w:ilvl="0" w:tplc="9298612A">
      <w:start w:val="1"/>
      <w:numFmt w:val="decimal"/>
      <w:pStyle w:val="Heading2"/>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5D682E"/>
    <w:multiLevelType w:val="hybridMultilevel"/>
    <w:tmpl w:val="9F46BD7A"/>
    <w:lvl w:ilvl="0" w:tplc="BABAFC9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1C666B"/>
    <w:multiLevelType w:val="hybridMultilevel"/>
    <w:tmpl w:val="EDF21A1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67E4D16"/>
    <w:multiLevelType w:val="hybridMultilevel"/>
    <w:tmpl w:val="A9409128"/>
    <w:lvl w:ilvl="0" w:tplc="3A402F3A">
      <w:start w:val="1"/>
      <w:numFmt w:val="upperLetter"/>
      <w:pStyle w:val="Heading3"/>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2C167B"/>
    <w:multiLevelType w:val="hybridMultilevel"/>
    <w:tmpl w:val="A904B126"/>
    <w:lvl w:ilvl="0" w:tplc="70C21C7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3046E9"/>
    <w:multiLevelType w:val="hybridMultilevel"/>
    <w:tmpl w:val="A4141928"/>
    <w:lvl w:ilvl="0" w:tplc="5AE8C9D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DF71DB"/>
    <w:multiLevelType w:val="hybridMultilevel"/>
    <w:tmpl w:val="121C0E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F470AD7"/>
    <w:multiLevelType w:val="hybridMultilevel"/>
    <w:tmpl w:val="4BC069C4"/>
    <w:lvl w:ilvl="0" w:tplc="59B627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7794648">
    <w:abstractNumId w:val="14"/>
  </w:num>
  <w:num w:numId="2" w16cid:durableId="675113880">
    <w:abstractNumId w:val="15"/>
  </w:num>
  <w:num w:numId="3" w16cid:durableId="244074293">
    <w:abstractNumId w:val="19"/>
  </w:num>
  <w:num w:numId="4" w16cid:durableId="440226218">
    <w:abstractNumId w:val="9"/>
  </w:num>
  <w:num w:numId="5" w16cid:durableId="1086461585">
    <w:abstractNumId w:val="20"/>
  </w:num>
  <w:num w:numId="6" w16cid:durableId="962884699">
    <w:abstractNumId w:val="19"/>
    <w:lvlOverride w:ilvl="0">
      <w:startOverride w:val="1"/>
    </w:lvlOverride>
  </w:num>
  <w:num w:numId="7" w16cid:durableId="1061753922">
    <w:abstractNumId w:val="17"/>
  </w:num>
  <w:num w:numId="8" w16cid:durableId="672223205">
    <w:abstractNumId w:val="12"/>
  </w:num>
  <w:num w:numId="9" w16cid:durableId="270284848">
    <w:abstractNumId w:val="13"/>
  </w:num>
  <w:num w:numId="10" w16cid:durableId="1096554413">
    <w:abstractNumId w:val="21"/>
  </w:num>
  <w:num w:numId="11" w16cid:durableId="2091929953">
    <w:abstractNumId w:val="10"/>
  </w:num>
  <w:num w:numId="12" w16cid:durableId="787702418">
    <w:abstractNumId w:val="9"/>
    <w:lvlOverride w:ilvl="0">
      <w:startOverride w:val="1"/>
    </w:lvlOverride>
  </w:num>
  <w:num w:numId="13" w16cid:durableId="369229872">
    <w:abstractNumId w:val="9"/>
    <w:lvlOverride w:ilvl="0">
      <w:startOverride w:val="1"/>
    </w:lvlOverride>
  </w:num>
  <w:num w:numId="14" w16cid:durableId="1087191706">
    <w:abstractNumId w:val="19"/>
    <w:lvlOverride w:ilvl="0">
      <w:startOverride w:val="1"/>
    </w:lvlOverride>
  </w:num>
  <w:num w:numId="15" w16cid:durableId="1678381596">
    <w:abstractNumId w:val="8"/>
  </w:num>
  <w:num w:numId="16" w16cid:durableId="826672299">
    <w:abstractNumId w:val="9"/>
    <w:lvlOverride w:ilvl="0">
      <w:startOverride w:val="1"/>
    </w:lvlOverride>
  </w:num>
  <w:num w:numId="17" w16cid:durableId="169493957">
    <w:abstractNumId w:val="9"/>
    <w:lvlOverride w:ilvl="0">
      <w:startOverride w:val="1"/>
    </w:lvlOverride>
  </w:num>
  <w:num w:numId="18" w16cid:durableId="488640717">
    <w:abstractNumId w:val="7"/>
  </w:num>
  <w:num w:numId="19" w16cid:durableId="897862119">
    <w:abstractNumId w:val="22"/>
  </w:num>
  <w:num w:numId="20" w16cid:durableId="1505124769">
    <w:abstractNumId w:val="4"/>
  </w:num>
  <w:num w:numId="21" w16cid:durableId="607658181">
    <w:abstractNumId w:val="1"/>
  </w:num>
  <w:num w:numId="22" w16cid:durableId="1844321655">
    <w:abstractNumId w:val="0"/>
  </w:num>
  <w:num w:numId="23" w16cid:durableId="2119173310">
    <w:abstractNumId w:val="19"/>
    <w:lvlOverride w:ilvl="0">
      <w:startOverride w:val="1"/>
    </w:lvlOverride>
  </w:num>
  <w:num w:numId="24" w16cid:durableId="355278166">
    <w:abstractNumId w:val="3"/>
  </w:num>
  <w:num w:numId="25" w16cid:durableId="400564859">
    <w:abstractNumId w:val="5"/>
  </w:num>
  <w:num w:numId="26" w16cid:durableId="729306373">
    <w:abstractNumId w:val="20"/>
    <w:lvlOverride w:ilvl="0">
      <w:startOverride w:val="1"/>
    </w:lvlOverride>
  </w:num>
  <w:num w:numId="27" w16cid:durableId="1219243919">
    <w:abstractNumId w:val="20"/>
    <w:lvlOverride w:ilvl="0">
      <w:startOverride w:val="1"/>
    </w:lvlOverride>
  </w:num>
  <w:num w:numId="28" w16cid:durableId="1851483458">
    <w:abstractNumId w:val="11"/>
  </w:num>
  <w:num w:numId="29" w16cid:durableId="1602568505">
    <w:abstractNumId w:val="2"/>
  </w:num>
  <w:num w:numId="30" w16cid:durableId="1817411037">
    <w:abstractNumId w:val="16"/>
  </w:num>
  <w:num w:numId="31" w16cid:durableId="556480278">
    <w:abstractNumId w:val="6"/>
  </w:num>
  <w:num w:numId="32" w16cid:durableId="1163551547">
    <w:abstractNumId w:val="18"/>
  </w:num>
  <w:num w:numId="33" w16cid:durableId="22591809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90"/>
    <w:rsid w:val="000034E6"/>
    <w:rsid w:val="000039E1"/>
    <w:rsid w:val="0000456D"/>
    <w:rsid w:val="00004AB4"/>
    <w:rsid w:val="00004BCD"/>
    <w:rsid w:val="000076FA"/>
    <w:rsid w:val="00010B70"/>
    <w:rsid w:val="000127FE"/>
    <w:rsid w:val="00012849"/>
    <w:rsid w:val="00012AAD"/>
    <w:rsid w:val="00015882"/>
    <w:rsid w:val="00016272"/>
    <w:rsid w:val="00016323"/>
    <w:rsid w:val="000166B6"/>
    <w:rsid w:val="00017A49"/>
    <w:rsid w:val="000217C5"/>
    <w:rsid w:val="000218FD"/>
    <w:rsid w:val="00022C6B"/>
    <w:rsid w:val="000239D1"/>
    <w:rsid w:val="00024C9C"/>
    <w:rsid w:val="00024F25"/>
    <w:rsid w:val="00025677"/>
    <w:rsid w:val="00025C45"/>
    <w:rsid w:val="00025C69"/>
    <w:rsid w:val="00030A82"/>
    <w:rsid w:val="00030F8E"/>
    <w:rsid w:val="00031374"/>
    <w:rsid w:val="000327A6"/>
    <w:rsid w:val="00032D87"/>
    <w:rsid w:val="00034716"/>
    <w:rsid w:val="00034D40"/>
    <w:rsid w:val="00035EAE"/>
    <w:rsid w:val="00036F7B"/>
    <w:rsid w:val="00043684"/>
    <w:rsid w:val="00044531"/>
    <w:rsid w:val="00045E5D"/>
    <w:rsid w:val="00046062"/>
    <w:rsid w:val="00046A34"/>
    <w:rsid w:val="000525EF"/>
    <w:rsid w:val="00052959"/>
    <w:rsid w:val="00053E33"/>
    <w:rsid w:val="00054FA8"/>
    <w:rsid w:val="000553C9"/>
    <w:rsid w:val="00055683"/>
    <w:rsid w:val="00055DDC"/>
    <w:rsid w:val="000608F0"/>
    <w:rsid w:val="00061536"/>
    <w:rsid w:val="00063ADA"/>
    <w:rsid w:val="000644A0"/>
    <w:rsid w:val="000648DD"/>
    <w:rsid w:val="00067870"/>
    <w:rsid w:val="000703DA"/>
    <w:rsid w:val="00070685"/>
    <w:rsid w:val="00071927"/>
    <w:rsid w:val="0007205C"/>
    <w:rsid w:val="00072076"/>
    <w:rsid w:val="00074138"/>
    <w:rsid w:val="00082A82"/>
    <w:rsid w:val="000864CA"/>
    <w:rsid w:val="000868C8"/>
    <w:rsid w:val="000868F7"/>
    <w:rsid w:val="00086E71"/>
    <w:rsid w:val="0009302F"/>
    <w:rsid w:val="00094B83"/>
    <w:rsid w:val="00094B8A"/>
    <w:rsid w:val="0009508E"/>
    <w:rsid w:val="0009720B"/>
    <w:rsid w:val="000A1B5A"/>
    <w:rsid w:val="000A21D3"/>
    <w:rsid w:val="000A4064"/>
    <w:rsid w:val="000A4A01"/>
    <w:rsid w:val="000A5B59"/>
    <w:rsid w:val="000A7E8E"/>
    <w:rsid w:val="000B00B3"/>
    <w:rsid w:val="000B0CAA"/>
    <w:rsid w:val="000B1114"/>
    <w:rsid w:val="000B2555"/>
    <w:rsid w:val="000B35ED"/>
    <w:rsid w:val="000B43DC"/>
    <w:rsid w:val="000B72C7"/>
    <w:rsid w:val="000C2118"/>
    <w:rsid w:val="000C300F"/>
    <w:rsid w:val="000C3909"/>
    <w:rsid w:val="000C3ADC"/>
    <w:rsid w:val="000C4F65"/>
    <w:rsid w:val="000C5341"/>
    <w:rsid w:val="000C68AB"/>
    <w:rsid w:val="000C6D5B"/>
    <w:rsid w:val="000C75D6"/>
    <w:rsid w:val="000D1468"/>
    <w:rsid w:val="000D1BED"/>
    <w:rsid w:val="000D2855"/>
    <w:rsid w:val="000D350B"/>
    <w:rsid w:val="000D3E43"/>
    <w:rsid w:val="000D3F36"/>
    <w:rsid w:val="000D42AA"/>
    <w:rsid w:val="000D437E"/>
    <w:rsid w:val="000D4BD4"/>
    <w:rsid w:val="000D793F"/>
    <w:rsid w:val="000E028B"/>
    <w:rsid w:val="000E13F5"/>
    <w:rsid w:val="000E1F63"/>
    <w:rsid w:val="000E2D3E"/>
    <w:rsid w:val="000E2EFC"/>
    <w:rsid w:val="000E77BA"/>
    <w:rsid w:val="000F2094"/>
    <w:rsid w:val="000F2F35"/>
    <w:rsid w:val="000F450B"/>
    <w:rsid w:val="000F60CB"/>
    <w:rsid w:val="000F6607"/>
    <w:rsid w:val="000F79A0"/>
    <w:rsid w:val="000F7EFA"/>
    <w:rsid w:val="001005C9"/>
    <w:rsid w:val="00103956"/>
    <w:rsid w:val="00103EEA"/>
    <w:rsid w:val="00105EEC"/>
    <w:rsid w:val="00107271"/>
    <w:rsid w:val="00107F80"/>
    <w:rsid w:val="00110805"/>
    <w:rsid w:val="00110832"/>
    <w:rsid w:val="00114583"/>
    <w:rsid w:val="001161B6"/>
    <w:rsid w:val="001168E0"/>
    <w:rsid w:val="00121DBD"/>
    <w:rsid w:val="00122082"/>
    <w:rsid w:val="00122812"/>
    <w:rsid w:val="00125FBB"/>
    <w:rsid w:val="00127403"/>
    <w:rsid w:val="00127503"/>
    <w:rsid w:val="0013140D"/>
    <w:rsid w:val="00133DAC"/>
    <w:rsid w:val="00135122"/>
    <w:rsid w:val="0013582A"/>
    <w:rsid w:val="00135F41"/>
    <w:rsid w:val="00144385"/>
    <w:rsid w:val="00144D41"/>
    <w:rsid w:val="00146CE7"/>
    <w:rsid w:val="00147B74"/>
    <w:rsid w:val="00151BE4"/>
    <w:rsid w:val="00152720"/>
    <w:rsid w:val="001528ED"/>
    <w:rsid w:val="00153727"/>
    <w:rsid w:val="00153C55"/>
    <w:rsid w:val="001569C3"/>
    <w:rsid w:val="00156BE2"/>
    <w:rsid w:val="00156DAD"/>
    <w:rsid w:val="001622CA"/>
    <w:rsid w:val="00163B81"/>
    <w:rsid w:val="00166AD1"/>
    <w:rsid w:val="00173A87"/>
    <w:rsid w:val="00175999"/>
    <w:rsid w:val="00177686"/>
    <w:rsid w:val="00182315"/>
    <w:rsid w:val="00182BB0"/>
    <w:rsid w:val="00182FD2"/>
    <w:rsid w:val="001838E5"/>
    <w:rsid w:val="00187AD1"/>
    <w:rsid w:val="00191051"/>
    <w:rsid w:val="00192084"/>
    <w:rsid w:val="00193D1D"/>
    <w:rsid w:val="001A01A6"/>
    <w:rsid w:val="001A1415"/>
    <w:rsid w:val="001A2422"/>
    <w:rsid w:val="001A3206"/>
    <w:rsid w:val="001A47AE"/>
    <w:rsid w:val="001A6CDD"/>
    <w:rsid w:val="001A6EFF"/>
    <w:rsid w:val="001A7B1A"/>
    <w:rsid w:val="001B01C1"/>
    <w:rsid w:val="001B0630"/>
    <w:rsid w:val="001B0A17"/>
    <w:rsid w:val="001B19D3"/>
    <w:rsid w:val="001B25F8"/>
    <w:rsid w:val="001B5505"/>
    <w:rsid w:val="001C2F50"/>
    <w:rsid w:val="001C5B4A"/>
    <w:rsid w:val="001C7958"/>
    <w:rsid w:val="001D0148"/>
    <w:rsid w:val="001D2CC8"/>
    <w:rsid w:val="001D3CFD"/>
    <w:rsid w:val="001D3F87"/>
    <w:rsid w:val="001D40CC"/>
    <w:rsid w:val="001D730B"/>
    <w:rsid w:val="001E0E11"/>
    <w:rsid w:val="001E2B56"/>
    <w:rsid w:val="001E3244"/>
    <w:rsid w:val="001E44B6"/>
    <w:rsid w:val="001E5495"/>
    <w:rsid w:val="001F03BD"/>
    <w:rsid w:val="001F2ABE"/>
    <w:rsid w:val="001F54D1"/>
    <w:rsid w:val="001F698F"/>
    <w:rsid w:val="002002A8"/>
    <w:rsid w:val="00201CE4"/>
    <w:rsid w:val="002027CC"/>
    <w:rsid w:val="002072CD"/>
    <w:rsid w:val="002075C5"/>
    <w:rsid w:val="002104C0"/>
    <w:rsid w:val="0021073C"/>
    <w:rsid w:val="0021172C"/>
    <w:rsid w:val="0021298B"/>
    <w:rsid w:val="00214AB3"/>
    <w:rsid w:val="002204D6"/>
    <w:rsid w:val="00223E6F"/>
    <w:rsid w:val="00224EEA"/>
    <w:rsid w:val="00226217"/>
    <w:rsid w:val="0022653F"/>
    <w:rsid w:val="0022766F"/>
    <w:rsid w:val="00230496"/>
    <w:rsid w:val="002320E6"/>
    <w:rsid w:val="00233611"/>
    <w:rsid w:val="00236792"/>
    <w:rsid w:val="0024178F"/>
    <w:rsid w:val="002450C4"/>
    <w:rsid w:val="002507B2"/>
    <w:rsid w:val="002516CF"/>
    <w:rsid w:val="00251CA2"/>
    <w:rsid w:val="00252009"/>
    <w:rsid w:val="002526EB"/>
    <w:rsid w:val="00255A5B"/>
    <w:rsid w:val="0025680C"/>
    <w:rsid w:val="0026075B"/>
    <w:rsid w:val="00261EED"/>
    <w:rsid w:val="00262D77"/>
    <w:rsid w:val="002635D1"/>
    <w:rsid w:val="00263F12"/>
    <w:rsid w:val="00263FCA"/>
    <w:rsid w:val="00265DDF"/>
    <w:rsid w:val="00265FD0"/>
    <w:rsid w:val="002674D4"/>
    <w:rsid w:val="00272051"/>
    <w:rsid w:val="00272219"/>
    <w:rsid w:val="00272DBC"/>
    <w:rsid w:val="002736AA"/>
    <w:rsid w:val="002869BA"/>
    <w:rsid w:val="00286AD9"/>
    <w:rsid w:val="002874BC"/>
    <w:rsid w:val="002921AC"/>
    <w:rsid w:val="00292778"/>
    <w:rsid w:val="00292C90"/>
    <w:rsid w:val="00292FD2"/>
    <w:rsid w:val="0029585D"/>
    <w:rsid w:val="00295C7F"/>
    <w:rsid w:val="0029683B"/>
    <w:rsid w:val="002A252B"/>
    <w:rsid w:val="002A2A23"/>
    <w:rsid w:val="002A2A6E"/>
    <w:rsid w:val="002A425B"/>
    <w:rsid w:val="002A574C"/>
    <w:rsid w:val="002A5A1B"/>
    <w:rsid w:val="002A6F6F"/>
    <w:rsid w:val="002A7626"/>
    <w:rsid w:val="002B0A7E"/>
    <w:rsid w:val="002B18FF"/>
    <w:rsid w:val="002B1C23"/>
    <w:rsid w:val="002B24D6"/>
    <w:rsid w:val="002B381E"/>
    <w:rsid w:val="002B3AED"/>
    <w:rsid w:val="002B426A"/>
    <w:rsid w:val="002B46B3"/>
    <w:rsid w:val="002B79E0"/>
    <w:rsid w:val="002C2461"/>
    <w:rsid w:val="002C517C"/>
    <w:rsid w:val="002D0912"/>
    <w:rsid w:val="002D2305"/>
    <w:rsid w:val="002D2A2E"/>
    <w:rsid w:val="002D4383"/>
    <w:rsid w:val="002D4F68"/>
    <w:rsid w:val="002E131A"/>
    <w:rsid w:val="002E1CE0"/>
    <w:rsid w:val="002E637E"/>
    <w:rsid w:val="002E690E"/>
    <w:rsid w:val="002E71DE"/>
    <w:rsid w:val="002E744C"/>
    <w:rsid w:val="002E768E"/>
    <w:rsid w:val="002F01AC"/>
    <w:rsid w:val="002F0AB6"/>
    <w:rsid w:val="002F0B3C"/>
    <w:rsid w:val="002F1353"/>
    <w:rsid w:val="002F4CF4"/>
    <w:rsid w:val="002F5AFA"/>
    <w:rsid w:val="00301734"/>
    <w:rsid w:val="003030CD"/>
    <w:rsid w:val="00303513"/>
    <w:rsid w:val="00304825"/>
    <w:rsid w:val="00307EA8"/>
    <w:rsid w:val="00311D85"/>
    <w:rsid w:val="00312188"/>
    <w:rsid w:val="00313739"/>
    <w:rsid w:val="003148C4"/>
    <w:rsid w:val="00322D5E"/>
    <w:rsid w:val="00323F4C"/>
    <w:rsid w:val="00324E9C"/>
    <w:rsid w:val="00324F0E"/>
    <w:rsid w:val="00325200"/>
    <w:rsid w:val="00330D77"/>
    <w:rsid w:val="00331DD3"/>
    <w:rsid w:val="003327A1"/>
    <w:rsid w:val="00332BB6"/>
    <w:rsid w:val="00332E86"/>
    <w:rsid w:val="003335E0"/>
    <w:rsid w:val="003338D4"/>
    <w:rsid w:val="003339C4"/>
    <w:rsid w:val="00333A77"/>
    <w:rsid w:val="003352F4"/>
    <w:rsid w:val="00336B31"/>
    <w:rsid w:val="00337EE5"/>
    <w:rsid w:val="00343453"/>
    <w:rsid w:val="0034454C"/>
    <w:rsid w:val="00344EC2"/>
    <w:rsid w:val="00345F8F"/>
    <w:rsid w:val="003465D0"/>
    <w:rsid w:val="00347E04"/>
    <w:rsid w:val="00350F13"/>
    <w:rsid w:val="003538B2"/>
    <w:rsid w:val="00360CC3"/>
    <w:rsid w:val="003627A7"/>
    <w:rsid w:val="0036351F"/>
    <w:rsid w:val="003648B7"/>
    <w:rsid w:val="00366078"/>
    <w:rsid w:val="00366322"/>
    <w:rsid w:val="0036638D"/>
    <w:rsid w:val="00373E3E"/>
    <w:rsid w:val="003750CB"/>
    <w:rsid w:val="00375B3D"/>
    <w:rsid w:val="003761AE"/>
    <w:rsid w:val="00376C79"/>
    <w:rsid w:val="00383ADE"/>
    <w:rsid w:val="00384A85"/>
    <w:rsid w:val="003852D4"/>
    <w:rsid w:val="0038558B"/>
    <w:rsid w:val="003869EC"/>
    <w:rsid w:val="00387751"/>
    <w:rsid w:val="003902D2"/>
    <w:rsid w:val="00391B4C"/>
    <w:rsid w:val="00395C48"/>
    <w:rsid w:val="00395D55"/>
    <w:rsid w:val="003964FE"/>
    <w:rsid w:val="0039675F"/>
    <w:rsid w:val="003977EB"/>
    <w:rsid w:val="00397F00"/>
    <w:rsid w:val="00397F20"/>
    <w:rsid w:val="003A4372"/>
    <w:rsid w:val="003B0411"/>
    <w:rsid w:val="003B0530"/>
    <w:rsid w:val="003B23AB"/>
    <w:rsid w:val="003B3F9F"/>
    <w:rsid w:val="003B5F63"/>
    <w:rsid w:val="003B654D"/>
    <w:rsid w:val="003B6609"/>
    <w:rsid w:val="003B6D9B"/>
    <w:rsid w:val="003C0DF1"/>
    <w:rsid w:val="003C180F"/>
    <w:rsid w:val="003C1A2E"/>
    <w:rsid w:val="003C2241"/>
    <w:rsid w:val="003C2392"/>
    <w:rsid w:val="003C5CEC"/>
    <w:rsid w:val="003D19FD"/>
    <w:rsid w:val="003D2E4E"/>
    <w:rsid w:val="003D2EF1"/>
    <w:rsid w:val="003D3037"/>
    <w:rsid w:val="003D37E6"/>
    <w:rsid w:val="003D3B72"/>
    <w:rsid w:val="003D49C2"/>
    <w:rsid w:val="003D61AF"/>
    <w:rsid w:val="003E137C"/>
    <w:rsid w:val="003F2A8E"/>
    <w:rsid w:val="003F2EA8"/>
    <w:rsid w:val="003F3424"/>
    <w:rsid w:val="003F3436"/>
    <w:rsid w:val="003F4C93"/>
    <w:rsid w:val="003F4D1D"/>
    <w:rsid w:val="003F54E7"/>
    <w:rsid w:val="003F63AE"/>
    <w:rsid w:val="00400CF9"/>
    <w:rsid w:val="00403396"/>
    <w:rsid w:val="004037FE"/>
    <w:rsid w:val="00405004"/>
    <w:rsid w:val="00405CC0"/>
    <w:rsid w:val="0040749D"/>
    <w:rsid w:val="0041347D"/>
    <w:rsid w:val="0041378C"/>
    <w:rsid w:val="00413BA2"/>
    <w:rsid w:val="0041468F"/>
    <w:rsid w:val="00416232"/>
    <w:rsid w:val="004162AF"/>
    <w:rsid w:val="00416470"/>
    <w:rsid w:val="00421A27"/>
    <w:rsid w:val="00422893"/>
    <w:rsid w:val="00422E0D"/>
    <w:rsid w:val="0042376E"/>
    <w:rsid w:val="00425150"/>
    <w:rsid w:val="004265CC"/>
    <w:rsid w:val="00427CF8"/>
    <w:rsid w:val="00427D43"/>
    <w:rsid w:val="0043208A"/>
    <w:rsid w:val="00434549"/>
    <w:rsid w:val="00435A3F"/>
    <w:rsid w:val="004426D0"/>
    <w:rsid w:val="0044272F"/>
    <w:rsid w:val="00446296"/>
    <w:rsid w:val="00450F04"/>
    <w:rsid w:val="004532BE"/>
    <w:rsid w:val="00454C52"/>
    <w:rsid w:val="00456DE6"/>
    <w:rsid w:val="0045796D"/>
    <w:rsid w:val="00460911"/>
    <w:rsid w:val="00461E28"/>
    <w:rsid w:val="004651AA"/>
    <w:rsid w:val="004661A4"/>
    <w:rsid w:val="00467227"/>
    <w:rsid w:val="004709E5"/>
    <w:rsid w:val="0047109D"/>
    <w:rsid w:val="00471319"/>
    <w:rsid w:val="0047137A"/>
    <w:rsid w:val="004734AF"/>
    <w:rsid w:val="004735B6"/>
    <w:rsid w:val="00474722"/>
    <w:rsid w:val="004752EC"/>
    <w:rsid w:val="004757E3"/>
    <w:rsid w:val="00477DFD"/>
    <w:rsid w:val="00482A62"/>
    <w:rsid w:val="00487424"/>
    <w:rsid w:val="004874B2"/>
    <w:rsid w:val="00491757"/>
    <w:rsid w:val="00495CB6"/>
    <w:rsid w:val="004A003B"/>
    <w:rsid w:val="004A0819"/>
    <w:rsid w:val="004A1A7F"/>
    <w:rsid w:val="004A4087"/>
    <w:rsid w:val="004A45BB"/>
    <w:rsid w:val="004A5067"/>
    <w:rsid w:val="004A6213"/>
    <w:rsid w:val="004B374B"/>
    <w:rsid w:val="004B7C66"/>
    <w:rsid w:val="004C025E"/>
    <w:rsid w:val="004C1A67"/>
    <w:rsid w:val="004C1EB6"/>
    <w:rsid w:val="004C24CC"/>
    <w:rsid w:val="004C43DD"/>
    <w:rsid w:val="004C5A7C"/>
    <w:rsid w:val="004C5FF8"/>
    <w:rsid w:val="004C6F8C"/>
    <w:rsid w:val="004D1132"/>
    <w:rsid w:val="004D204D"/>
    <w:rsid w:val="004D3784"/>
    <w:rsid w:val="004E0570"/>
    <w:rsid w:val="004E5961"/>
    <w:rsid w:val="004E6005"/>
    <w:rsid w:val="004F6060"/>
    <w:rsid w:val="004F696B"/>
    <w:rsid w:val="005020C8"/>
    <w:rsid w:val="00502CAF"/>
    <w:rsid w:val="00502CFF"/>
    <w:rsid w:val="00506F76"/>
    <w:rsid w:val="005075EF"/>
    <w:rsid w:val="00510F5D"/>
    <w:rsid w:val="00510FED"/>
    <w:rsid w:val="005161DD"/>
    <w:rsid w:val="00520B54"/>
    <w:rsid w:val="00524656"/>
    <w:rsid w:val="00525BED"/>
    <w:rsid w:val="005271DB"/>
    <w:rsid w:val="00527A9F"/>
    <w:rsid w:val="00530EAC"/>
    <w:rsid w:val="00531504"/>
    <w:rsid w:val="00532170"/>
    <w:rsid w:val="00533DD4"/>
    <w:rsid w:val="00535A59"/>
    <w:rsid w:val="0053795F"/>
    <w:rsid w:val="00537E9F"/>
    <w:rsid w:val="0054031E"/>
    <w:rsid w:val="00543835"/>
    <w:rsid w:val="0054414A"/>
    <w:rsid w:val="005451AC"/>
    <w:rsid w:val="005467D6"/>
    <w:rsid w:val="00547558"/>
    <w:rsid w:val="0055019C"/>
    <w:rsid w:val="00550394"/>
    <w:rsid w:val="00552885"/>
    <w:rsid w:val="00552D86"/>
    <w:rsid w:val="00553349"/>
    <w:rsid w:val="00555F4A"/>
    <w:rsid w:val="0055648C"/>
    <w:rsid w:val="0055751D"/>
    <w:rsid w:val="005606A5"/>
    <w:rsid w:val="00562209"/>
    <w:rsid w:val="0056284D"/>
    <w:rsid w:val="00563872"/>
    <w:rsid w:val="0056718F"/>
    <w:rsid w:val="005704F1"/>
    <w:rsid w:val="00570A06"/>
    <w:rsid w:val="00572FED"/>
    <w:rsid w:val="005739FA"/>
    <w:rsid w:val="00574BE6"/>
    <w:rsid w:val="0057561D"/>
    <w:rsid w:val="00580B1B"/>
    <w:rsid w:val="0058191A"/>
    <w:rsid w:val="0058461A"/>
    <w:rsid w:val="00584DC3"/>
    <w:rsid w:val="0058537B"/>
    <w:rsid w:val="00585924"/>
    <w:rsid w:val="005873D8"/>
    <w:rsid w:val="0058762E"/>
    <w:rsid w:val="00587F95"/>
    <w:rsid w:val="0059288D"/>
    <w:rsid w:val="00593BFC"/>
    <w:rsid w:val="00595260"/>
    <w:rsid w:val="005A019B"/>
    <w:rsid w:val="005A156F"/>
    <w:rsid w:val="005A1A3B"/>
    <w:rsid w:val="005A526C"/>
    <w:rsid w:val="005A56AB"/>
    <w:rsid w:val="005A58A9"/>
    <w:rsid w:val="005A5C4B"/>
    <w:rsid w:val="005A7595"/>
    <w:rsid w:val="005B2EE1"/>
    <w:rsid w:val="005B655A"/>
    <w:rsid w:val="005C0ABF"/>
    <w:rsid w:val="005C298F"/>
    <w:rsid w:val="005C3E86"/>
    <w:rsid w:val="005C59AA"/>
    <w:rsid w:val="005C724D"/>
    <w:rsid w:val="005D2727"/>
    <w:rsid w:val="005D5459"/>
    <w:rsid w:val="005D6A3D"/>
    <w:rsid w:val="005D7DC1"/>
    <w:rsid w:val="005D7E72"/>
    <w:rsid w:val="005E2660"/>
    <w:rsid w:val="005E2AEE"/>
    <w:rsid w:val="005E39EF"/>
    <w:rsid w:val="005E62D2"/>
    <w:rsid w:val="005E6FF1"/>
    <w:rsid w:val="005F0280"/>
    <w:rsid w:val="005F0C35"/>
    <w:rsid w:val="005F0E7D"/>
    <w:rsid w:val="005F15C0"/>
    <w:rsid w:val="005F5AEC"/>
    <w:rsid w:val="006020AF"/>
    <w:rsid w:val="00603C50"/>
    <w:rsid w:val="00605399"/>
    <w:rsid w:val="0060610B"/>
    <w:rsid w:val="006064FB"/>
    <w:rsid w:val="00611B70"/>
    <w:rsid w:val="00614413"/>
    <w:rsid w:val="0061513C"/>
    <w:rsid w:val="00621796"/>
    <w:rsid w:val="006235EF"/>
    <w:rsid w:val="006252C6"/>
    <w:rsid w:val="00626D2E"/>
    <w:rsid w:val="00630832"/>
    <w:rsid w:val="00631B5A"/>
    <w:rsid w:val="00634879"/>
    <w:rsid w:val="00635AE8"/>
    <w:rsid w:val="00637660"/>
    <w:rsid w:val="0064002F"/>
    <w:rsid w:val="0064107C"/>
    <w:rsid w:val="0064249C"/>
    <w:rsid w:val="00642835"/>
    <w:rsid w:val="006433C0"/>
    <w:rsid w:val="00643839"/>
    <w:rsid w:val="00644BA7"/>
    <w:rsid w:val="00645D3A"/>
    <w:rsid w:val="00646AB5"/>
    <w:rsid w:val="00650E40"/>
    <w:rsid w:val="00650FDC"/>
    <w:rsid w:val="0065187F"/>
    <w:rsid w:val="00651BC5"/>
    <w:rsid w:val="006548B9"/>
    <w:rsid w:val="00654E16"/>
    <w:rsid w:val="00655FD7"/>
    <w:rsid w:val="006574B1"/>
    <w:rsid w:val="006575F2"/>
    <w:rsid w:val="006577EA"/>
    <w:rsid w:val="006605A3"/>
    <w:rsid w:val="00660B76"/>
    <w:rsid w:val="00660BB9"/>
    <w:rsid w:val="00661F5E"/>
    <w:rsid w:val="006628C6"/>
    <w:rsid w:val="00662D40"/>
    <w:rsid w:val="006649A1"/>
    <w:rsid w:val="00664FAB"/>
    <w:rsid w:val="00665656"/>
    <w:rsid w:val="0066569E"/>
    <w:rsid w:val="0066593B"/>
    <w:rsid w:val="00666471"/>
    <w:rsid w:val="00673006"/>
    <w:rsid w:val="00675609"/>
    <w:rsid w:val="00677C61"/>
    <w:rsid w:val="00677EEC"/>
    <w:rsid w:val="00683EB6"/>
    <w:rsid w:val="006865DB"/>
    <w:rsid w:val="00687FC3"/>
    <w:rsid w:val="00690A83"/>
    <w:rsid w:val="00691D9E"/>
    <w:rsid w:val="00693AFC"/>
    <w:rsid w:val="00695557"/>
    <w:rsid w:val="00695718"/>
    <w:rsid w:val="00695AB9"/>
    <w:rsid w:val="00697B09"/>
    <w:rsid w:val="006A0204"/>
    <w:rsid w:val="006A0B1F"/>
    <w:rsid w:val="006A0F24"/>
    <w:rsid w:val="006A2457"/>
    <w:rsid w:val="006A4D25"/>
    <w:rsid w:val="006B2676"/>
    <w:rsid w:val="006B351E"/>
    <w:rsid w:val="006B38B1"/>
    <w:rsid w:val="006B40F3"/>
    <w:rsid w:val="006B61D3"/>
    <w:rsid w:val="006C092D"/>
    <w:rsid w:val="006C12B8"/>
    <w:rsid w:val="006C1A94"/>
    <w:rsid w:val="006C52D4"/>
    <w:rsid w:val="006C6CB5"/>
    <w:rsid w:val="006C6CBF"/>
    <w:rsid w:val="006D023D"/>
    <w:rsid w:val="006D10C5"/>
    <w:rsid w:val="006D12CA"/>
    <w:rsid w:val="006D2569"/>
    <w:rsid w:val="006D2786"/>
    <w:rsid w:val="006D43E5"/>
    <w:rsid w:val="006D6C79"/>
    <w:rsid w:val="006E5367"/>
    <w:rsid w:val="006E60B9"/>
    <w:rsid w:val="006E6A37"/>
    <w:rsid w:val="006E71D2"/>
    <w:rsid w:val="006E7FAC"/>
    <w:rsid w:val="006F0009"/>
    <w:rsid w:val="006F0464"/>
    <w:rsid w:val="006F44DB"/>
    <w:rsid w:val="006F4B31"/>
    <w:rsid w:val="006F6350"/>
    <w:rsid w:val="006F68AD"/>
    <w:rsid w:val="00700F14"/>
    <w:rsid w:val="00702DD5"/>
    <w:rsid w:val="007038EC"/>
    <w:rsid w:val="007045F4"/>
    <w:rsid w:val="00704D8A"/>
    <w:rsid w:val="00705C55"/>
    <w:rsid w:val="0070671E"/>
    <w:rsid w:val="0070760E"/>
    <w:rsid w:val="00707AE1"/>
    <w:rsid w:val="00707BB5"/>
    <w:rsid w:val="00707F6C"/>
    <w:rsid w:val="0071061B"/>
    <w:rsid w:val="00715656"/>
    <w:rsid w:val="0071591A"/>
    <w:rsid w:val="00715A52"/>
    <w:rsid w:val="00717039"/>
    <w:rsid w:val="00725089"/>
    <w:rsid w:val="00725659"/>
    <w:rsid w:val="00726212"/>
    <w:rsid w:val="007270F3"/>
    <w:rsid w:val="007306C0"/>
    <w:rsid w:val="007316F1"/>
    <w:rsid w:val="00732642"/>
    <w:rsid w:val="00734445"/>
    <w:rsid w:val="007363D2"/>
    <w:rsid w:val="0073730F"/>
    <w:rsid w:val="007410D8"/>
    <w:rsid w:val="007427F4"/>
    <w:rsid w:val="00742DF9"/>
    <w:rsid w:val="007435A2"/>
    <w:rsid w:val="0074566C"/>
    <w:rsid w:val="007463AD"/>
    <w:rsid w:val="007470BB"/>
    <w:rsid w:val="007478D1"/>
    <w:rsid w:val="00747A72"/>
    <w:rsid w:val="00750CA8"/>
    <w:rsid w:val="00753B3D"/>
    <w:rsid w:val="00754891"/>
    <w:rsid w:val="00754AB0"/>
    <w:rsid w:val="007565DD"/>
    <w:rsid w:val="0075714D"/>
    <w:rsid w:val="00757958"/>
    <w:rsid w:val="007612F1"/>
    <w:rsid w:val="007627B5"/>
    <w:rsid w:val="00765791"/>
    <w:rsid w:val="00766492"/>
    <w:rsid w:val="0077036C"/>
    <w:rsid w:val="00770BBB"/>
    <w:rsid w:val="00771D5E"/>
    <w:rsid w:val="00771D95"/>
    <w:rsid w:val="0077504C"/>
    <w:rsid w:val="00775143"/>
    <w:rsid w:val="00777669"/>
    <w:rsid w:val="00777961"/>
    <w:rsid w:val="007834D0"/>
    <w:rsid w:val="00784EAA"/>
    <w:rsid w:val="0078560B"/>
    <w:rsid w:val="007868CD"/>
    <w:rsid w:val="007900FD"/>
    <w:rsid w:val="00790340"/>
    <w:rsid w:val="00790A55"/>
    <w:rsid w:val="00791F12"/>
    <w:rsid w:val="007A2BFA"/>
    <w:rsid w:val="007A7B90"/>
    <w:rsid w:val="007B03BC"/>
    <w:rsid w:val="007B040B"/>
    <w:rsid w:val="007B2BA6"/>
    <w:rsid w:val="007B327B"/>
    <w:rsid w:val="007B3E45"/>
    <w:rsid w:val="007B492C"/>
    <w:rsid w:val="007B6391"/>
    <w:rsid w:val="007B67E6"/>
    <w:rsid w:val="007C7712"/>
    <w:rsid w:val="007D1FA1"/>
    <w:rsid w:val="007D3ECD"/>
    <w:rsid w:val="007D742F"/>
    <w:rsid w:val="007D7C4D"/>
    <w:rsid w:val="007E248C"/>
    <w:rsid w:val="007F1403"/>
    <w:rsid w:val="007F264F"/>
    <w:rsid w:val="007F4062"/>
    <w:rsid w:val="007F41BC"/>
    <w:rsid w:val="007F4227"/>
    <w:rsid w:val="007F6A9E"/>
    <w:rsid w:val="008005E9"/>
    <w:rsid w:val="0080422E"/>
    <w:rsid w:val="008060A3"/>
    <w:rsid w:val="008068BF"/>
    <w:rsid w:val="008104AB"/>
    <w:rsid w:val="00812ADC"/>
    <w:rsid w:val="008150EB"/>
    <w:rsid w:val="008155BC"/>
    <w:rsid w:val="00815FE3"/>
    <w:rsid w:val="00816EFA"/>
    <w:rsid w:val="008205F3"/>
    <w:rsid w:val="00820FFB"/>
    <w:rsid w:val="008217D8"/>
    <w:rsid w:val="008226C1"/>
    <w:rsid w:val="00823678"/>
    <w:rsid w:val="00824247"/>
    <w:rsid w:val="00824428"/>
    <w:rsid w:val="008264CB"/>
    <w:rsid w:val="00830B2C"/>
    <w:rsid w:val="00831B57"/>
    <w:rsid w:val="008346B5"/>
    <w:rsid w:val="00835F49"/>
    <w:rsid w:val="008360BB"/>
    <w:rsid w:val="008369DE"/>
    <w:rsid w:val="0084056A"/>
    <w:rsid w:val="00843D74"/>
    <w:rsid w:val="00845BC0"/>
    <w:rsid w:val="00847777"/>
    <w:rsid w:val="0084792C"/>
    <w:rsid w:val="00850DCF"/>
    <w:rsid w:val="008526F4"/>
    <w:rsid w:val="0085423E"/>
    <w:rsid w:val="008549BA"/>
    <w:rsid w:val="00854F3C"/>
    <w:rsid w:val="00856338"/>
    <w:rsid w:val="008567C5"/>
    <w:rsid w:val="00856CE8"/>
    <w:rsid w:val="008627F6"/>
    <w:rsid w:val="008645D7"/>
    <w:rsid w:val="00864A03"/>
    <w:rsid w:val="00865BEC"/>
    <w:rsid w:val="00867D69"/>
    <w:rsid w:val="00872EAE"/>
    <w:rsid w:val="00875222"/>
    <w:rsid w:val="008800DB"/>
    <w:rsid w:val="00880A49"/>
    <w:rsid w:val="00880AA4"/>
    <w:rsid w:val="008814A2"/>
    <w:rsid w:val="00882717"/>
    <w:rsid w:val="00883677"/>
    <w:rsid w:val="00883908"/>
    <w:rsid w:val="00883E41"/>
    <w:rsid w:val="00885270"/>
    <w:rsid w:val="008857EC"/>
    <w:rsid w:val="00886F98"/>
    <w:rsid w:val="0089081A"/>
    <w:rsid w:val="00892899"/>
    <w:rsid w:val="00895193"/>
    <w:rsid w:val="00896C6B"/>
    <w:rsid w:val="00896F53"/>
    <w:rsid w:val="00897FFE"/>
    <w:rsid w:val="008A1592"/>
    <w:rsid w:val="008A20DC"/>
    <w:rsid w:val="008A584C"/>
    <w:rsid w:val="008A5945"/>
    <w:rsid w:val="008B05F9"/>
    <w:rsid w:val="008B18F5"/>
    <w:rsid w:val="008B1ECE"/>
    <w:rsid w:val="008B2212"/>
    <w:rsid w:val="008B3334"/>
    <w:rsid w:val="008B35B7"/>
    <w:rsid w:val="008B3E21"/>
    <w:rsid w:val="008B40A9"/>
    <w:rsid w:val="008B674B"/>
    <w:rsid w:val="008B7CF9"/>
    <w:rsid w:val="008C2D77"/>
    <w:rsid w:val="008C4DA2"/>
    <w:rsid w:val="008C4F1E"/>
    <w:rsid w:val="008D0D24"/>
    <w:rsid w:val="008D1C7E"/>
    <w:rsid w:val="008D593B"/>
    <w:rsid w:val="008D5F94"/>
    <w:rsid w:val="008E115A"/>
    <w:rsid w:val="008E4D77"/>
    <w:rsid w:val="008E4FE3"/>
    <w:rsid w:val="008E58A9"/>
    <w:rsid w:val="008E5FA6"/>
    <w:rsid w:val="008E6755"/>
    <w:rsid w:val="008E6C30"/>
    <w:rsid w:val="008E7248"/>
    <w:rsid w:val="008E7D26"/>
    <w:rsid w:val="008F3B04"/>
    <w:rsid w:val="008F490B"/>
    <w:rsid w:val="008F4DD8"/>
    <w:rsid w:val="008F5124"/>
    <w:rsid w:val="008F544B"/>
    <w:rsid w:val="008F57E5"/>
    <w:rsid w:val="008F6962"/>
    <w:rsid w:val="00900EC9"/>
    <w:rsid w:val="009049CA"/>
    <w:rsid w:val="0090521E"/>
    <w:rsid w:val="00905DA7"/>
    <w:rsid w:val="00907643"/>
    <w:rsid w:val="00914F6B"/>
    <w:rsid w:val="00915394"/>
    <w:rsid w:val="009160A6"/>
    <w:rsid w:val="00922EC3"/>
    <w:rsid w:val="0092306B"/>
    <w:rsid w:val="00923603"/>
    <w:rsid w:val="00924D8B"/>
    <w:rsid w:val="009260CD"/>
    <w:rsid w:val="009265C9"/>
    <w:rsid w:val="009321ED"/>
    <w:rsid w:val="00935C57"/>
    <w:rsid w:val="00936CAE"/>
    <w:rsid w:val="00937402"/>
    <w:rsid w:val="009408E0"/>
    <w:rsid w:val="00941D61"/>
    <w:rsid w:val="009438FB"/>
    <w:rsid w:val="00944FC0"/>
    <w:rsid w:val="00946138"/>
    <w:rsid w:val="009524FC"/>
    <w:rsid w:val="00953F20"/>
    <w:rsid w:val="00955C30"/>
    <w:rsid w:val="00956276"/>
    <w:rsid w:val="00963096"/>
    <w:rsid w:val="00964EB7"/>
    <w:rsid w:val="00970103"/>
    <w:rsid w:val="0097125D"/>
    <w:rsid w:val="00971276"/>
    <w:rsid w:val="00973C07"/>
    <w:rsid w:val="00974130"/>
    <w:rsid w:val="00980183"/>
    <w:rsid w:val="00981A3B"/>
    <w:rsid w:val="009828F5"/>
    <w:rsid w:val="009830E9"/>
    <w:rsid w:val="009861B7"/>
    <w:rsid w:val="00986C00"/>
    <w:rsid w:val="00987D46"/>
    <w:rsid w:val="00991C6A"/>
    <w:rsid w:val="009921C6"/>
    <w:rsid w:val="009930A3"/>
    <w:rsid w:val="00995490"/>
    <w:rsid w:val="00995FA4"/>
    <w:rsid w:val="009978A7"/>
    <w:rsid w:val="009A124A"/>
    <w:rsid w:val="009A53B0"/>
    <w:rsid w:val="009A58EF"/>
    <w:rsid w:val="009A7C04"/>
    <w:rsid w:val="009B4A0A"/>
    <w:rsid w:val="009B62C6"/>
    <w:rsid w:val="009B6A2F"/>
    <w:rsid w:val="009C11C7"/>
    <w:rsid w:val="009C1ECF"/>
    <w:rsid w:val="009C23D6"/>
    <w:rsid w:val="009C453D"/>
    <w:rsid w:val="009C5E1E"/>
    <w:rsid w:val="009D16A3"/>
    <w:rsid w:val="009D2462"/>
    <w:rsid w:val="009D7632"/>
    <w:rsid w:val="009E0374"/>
    <w:rsid w:val="009E1F68"/>
    <w:rsid w:val="009E3404"/>
    <w:rsid w:val="009E5765"/>
    <w:rsid w:val="009E63DD"/>
    <w:rsid w:val="009F06DC"/>
    <w:rsid w:val="009F08EA"/>
    <w:rsid w:val="009F30CB"/>
    <w:rsid w:val="009F35D4"/>
    <w:rsid w:val="009F3CC1"/>
    <w:rsid w:val="009F4CEC"/>
    <w:rsid w:val="00A00EFE"/>
    <w:rsid w:val="00A0136C"/>
    <w:rsid w:val="00A01522"/>
    <w:rsid w:val="00A01E5B"/>
    <w:rsid w:val="00A01FE4"/>
    <w:rsid w:val="00A02751"/>
    <w:rsid w:val="00A02B23"/>
    <w:rsid w:val="00A038E4"/>
    <w:rsid w:val="00A071D1"/>
    <w:rsid w:val="00A108AF"/>
    <w:rsid w:val="00A116D6"/>
    <w:rsid w:val="00A11BDC"/>
    <w:rsid w:val="00A1246A"/>
    <w:rsid w:val="00A14AB3"/>
    <w:rsid w:val="00A16102"/>
    <w:rsid w:val="00A16455"/>
    <w:rsid w:val="00A16CB4"/>
    <w:rsid w:val="00A172B9"/>
    <w:rsid w:val="00A2050C"/>
    <w:rsid w:val="00A22971"/>
    <w:rsid w:val="00A22EA8"/>
    <w:rsid w:val="00A2368D"/>
    <w:rsid w:val="00A249FA"/>
    <w:rsid w:val="00A25AC1"/>
    <w:rsid w:val="00A25DBF"/>
    <w:rsid w:val="00A2630D"/>
    <w:rsid w:val="00A279BE"/>
    <w:rsid w:val="00A31AF2"/>
    <w:rsid w:val="00A31D66"/>
    <w:rsid w:val="00A32797"/>
    <w:rsid w:val="00A3338B"/>
    <w:rsid w:val="00A355E7"/>
    <w:rsid w:val="00A35BF6"/>
    <w:rsid w:val="00A402CD"/>
    <w:rsid w:val="00A403F9"/>
    <w:rsid w:val="00A40A4A"/>
    <w:rsid w:val="00A456D6"/>
    <w:rsid w:val="00A457D2"/>
    <w:rsid w:val="00A46761"/>
    <w:rsid w:val="00A46794"/>
    <w:rsid w:val="00A536C1"/>
    <w:rsid w:val="00A55524"/>
    <w:rsid w:val="00A56D8E"/>
    <w:rsid w:val="00A57701"/>
    <w:rsid w:val="00A648B5"/>
    <w:rsid w:val="00A64D25"/>
    <w:rsid w:val="00A65063"/>
    <w:rsid w:val="00A669CC"/>
    <w:rsid w:val="00A670D8"/>
    <w:rsid w:val="00A67332"/>
    <w:rsid w:val="00A6799B"/>
    <w:rsid w:val="00A70BFA"/>
    <w:rsid w:val="00A71C5E"/>
    <w:rsid w:val="00A71E16"/>
    <w:rsid w:val="00A73233"/>
    <w:rsid w:val="00A73D25"/>
    <w:rsid w:val="00A74510"/>
    <w:rsid w:val="00A75766"/>
    <w:rsid w:val="00A763EC"/>
    <w:rsid w:val="00A776EC"/>
    <w:rsid w:val="00A77E65"/>
    <w:rsid w:val="00A80290"/>
    <w:rsid w:val="00A80A4F"/>
    <w:rsid w:val="00A8134D"/>
    <w:rsid w:val="00A81D8D"/>
    <w:rsid w:val="00A83881"/>
    <w:rsid w:val="00A850FE"/>
    <w:rsid w:val="00A90779"/>
    <w:rsid w:val="00A94652"/>
    <w:rsid w:val="00A94A76"/>
    <w:rsid w:val="00A96603"/>
    <w:rsid w:val="00AA1048"/>
    <w:rsid w:val="00AA2A3B"/>
    <w:rsid w:val="00AA7644"/>
    <w:rsid w:val="00AB0226"/>
    <w:rsid w:val="00AB0E03"/>
    <w:rsid w:val="00AB1DBE"/>
    <w:rsid w:val="00AB2E57"/>
    <w:rsid w:val="00AB3524"/>
    <w:rsid w:val="00AB46F7"/>
    <w:rsid w:val="00AB4942"/>
    <w:rsid w:val="00AB6D56"/>
    <w:rsid w:val="00AB77AB"/>
    <w:rsid w:val="00AC17D8"/>
    <w:rsid w:val="00AC3672"/>
    <w:rsid w:val="00AC5148"/>
    <w:rsid w:val="00AC60DF"/>
    <w:rsid w:val="00AC6BF7"/>
    <w:rsid w:val="00AC75A5"/>
    <w:rsid w:val="00AD1E0E"/>
    <w:rsid w:val="00AD1E24"/>
    <w:rsid w:val="00AD2BF8"/>
    <w:rsid w:val="00AD37AD"/>
    <w:rsid w:val="00AE2DD5"/>
    <w:rsid w:val="00AE5150"/>
    <w:rsid w:val="00AE581B"/>
    <w:rsid w:val="00AE646D"/>
    <w:rsid w:val="00AE6BDE"/>
    <w:rsid w:val="00AE7B4C"/>
    <w:rsid w:val="00AE7CB1"/>
    <w:rsid w:val="00AF04BE"/>
    <w:rsid w:val="00AF2233"/>
    <w:rsid w:val="00AF5255"/>
    <w:rsid w:val="00AF627B"/>
    <w:rsid w:val="00B0300B"/>
    <w:rsid w:val="00B0373D"/>
    <w:rsid w:val="00B05992"/>
    <w:rsid w:val="00B06C40"/>
    <w:rsid w:val="00B10FE5"/>
    <w:rsid w:val="00B118CF"/>
    <w:rsid w:val="00B14401"/>
    <w:rsid w:val="00B146CD"/>
    <w:rsid w:val="00B15547"/>
    <w:rsid w:val="00B17793"/>
    <w:rsid w:val="00B205FA"/>
    <w:rsid w:val="00B22613"/>
    <w:rsid w:val="00B24221"/>
    <w:rsid w:val="00B244E6"/>
    <w:rsid w:val="00B265C2"/>
    <w:rsid w:val="00B26F1F"/>
    <w:rsid w:val="00B345F0"/>
    <w:rsid w:val="00B35A85"/>
    <w:rsid w:val="00B362D6"/>
    <w:rsid w:val="00B3715F"/>
    <w:rsid w:val="00B42C47"/>
    <w:rsid w:val="00B43C91"/>
    <w:rsid w:val="00B53A74"/>
    <w:rsid w:val="00B54BB7"/>
    <w:rsid w:val="00B551DA"/>
    <w:rsid w:val="00B5581C"/>
    <w:rsid w:val="00B5723D"/>
    <w:rsid w:val="00B57B6A"/>
    <w:rsid w:val="00B57D11"/>
    <w:rsid w:val="00B612F2"/>
    <w:rsid w:val="00B61E88"/>
    <w:rsid w:val="00B634A5"/>
    <w:rsid w:val="00B63D1B"/>
    <w:rsid w:val="00B641BA"/>
    <w:rsid w:val="00B66AC2"/>
    <w:rsid w:val="00B71A2C"/>
    <w:rsid w:val="00B720C3"/>
    <w:rsid w:val="00B724C4"/>
    <w:rsid w:val="00B73AE5"/>
    <w:rsid w:val="00B73F16"/>
    <w:rsid w:val="00B73FE1"/>
    <w:rsid w:val="00B8014F"/>
    <w:rsid w:val="00B818E9"/>
    <w:rsid w:val="00B85E55"/>
    <w:rsid w:val="00B85F8E"/>
    <w:rsid w:val="00B86CCB"/>
    <w:rsid w:val="00B87CEE"/>
    <w:rsid w:val="00B919D5"/>
    <w:rsid w:val="00B922D5"/>
    <w:rsid w:val="00B92F70"/>
    <w:rsid w:val="00B937FE"/>
    <w:rsid w:val="00B94325"/>
    <w:rsid w:val="00B94AE6"/>
    <w:rsid w:val="00B95112"/>
    <w:rsid w:val="00B957FE"/>
    <w:rsid w:val="00B9610C"/>
    <w:rsid w:val="00B96744"/>
    <w:rsid w:val="00B97D9C"/>
    <w:rsid w:val="00BA046C"/>
    <w:rsid w:val="00BA0C01"/>
    <w:rsid w:val="00BA11A8"/>
    <w:rsid w:val="00BA3B06"/>
    <w:rsid w:val="00BA3B9A"/>
    <w:rsid w:val="00BA3FE3"/>
    <w:rsid w:val="00BA561A"/>
    <w:rsid w:val="00BA6140"/>
    <w:rsid w:val="00BB11E5"/>
    <w:rsid w:val="00BB6C03"/>
    <w:rsid w:val="00BC0886"/>
    <w:rsid w:val="00BC0947"/>
    <w:rsid w:val="00BC16FD"/>
    <w:rsid w:val="00BC17DC"/>
    <w:rsid w:val="00BC3861"/>
    <w:rsid w:val="00BC3C6B"/>
    <w:rsid w:val="00BC540D"/>
    <w:rsid w:val="00BD15BA"/>
    <w:rsid w:val="00BD4B44"/>
    <w:rsid w:val="00BD5C90"/>
    <w:rsid w:val="00BD645F"/>
    <w:rsid w:val="00BE1E2B"/>
    <w:rsid w:val="00BE48FB"/>
    <w:rsid w:val="00BE610B"/>
    <w:rsid w:val="00BF083C"/>
    <w:rsid w:val="00BF1CD4"/>
    <w:rsid w:val="00BF3F93"/>
    <w:rsid w:val="00BF4489"/>
    <w:rsid w:val="00BF6E83"/>
    <w:rsid w:val="00C01743"/>
    <w:rsid w:val="00C02881"/>
    <w:rsid w:val="00C02D53"/>
    <w:rsid w:val="00C03E60"/>
    <w:rsid w:val="00C0413E"/>
    <w:rsid w:val="00C047A2"/>
    <w:rsid w:val="00C07824"/>
    <w:rsid w:val="00C11863"/>
    <w:rsid w:val="00C127BD"/>
    <w:rsid w:val="00C16764"/>
    <w:rsid w:val="00C23E27"/>
    <w:rsid w:val="00C24C85"/>
    <w:rsid w:val="00C2757A"/>
    <w:rsid w:val="00C275FD"/>
    <w:rsid w:val="00C3077B"/>
    <w:rsid w:val="00C3136B"/>
    <w:rsid w:val="00C31CE3"/>
    <w:rsid w:val="00C32810"/>
    <w:rsid w:val="00C33963"/>
    <w:rsid w:val="00C341DC"/>
    <w:rsid w:val="00C3434C"/>
    <w:rsid w:val="00C35533"/>
    <w:rsid w:val="00C35539"/>
    <w:rsid w:val="00C35921"/>
    <w:rsid w:val="00C37590"/>
    <w:rsid w:val="00C40A02"/>
    <w:rsid w:val="00C40C3C"/>
    <w:rsid w:val="00C4207D"/>
    <w:rsid w:val="00C42C58"/>
    <w:rsid w:val="00C42EDA"/>
    <w:rsid w:val="00C44D09"/>
    <w:rsid w:val="00C44E7B"/>
    <w:rsid w:val="00C50888"/>
    <w:rsid w:val="00C51D42"/>
    <w:rsid w:val="00C527AA"/>
    <w:rsid w:val="00C52E9C"/>
    <w:rsid w:val="00C53A17"/>
    <w:rsid w:val="00C55341"/>
    <w:rsid w:val="00C56310"/>
    <w:rsid w:val="00C60544"/>
    <w:rsid w:val="00C606D4"/>
    <w:rsid w:val="00C63BF0"/>
    <w:rsid w:val="00C713E4"/>
    <w:rsid w:val="00C74C2D"/>
    <w:rsid w:val="00C74D75"/>
    <w:rsid w:val="00C74F31"/>
    <w:rsid w:val="00C75249"/>
    <w:rsid w:val="00C758F7"/>
    <w:rsid w:val="00C76091"/>
    <w:rsid w:val="00C76A75"/>
    <w:rsid w:val="00C82D9F"/>
    <w:rsid w:val="00C85076"/>
    <w:rsid w:val="00C93A6F"/>
    <w:rsid w:val="00C97693"/>
    <w:rsid w:val="00C97F4B"/>
    <w:rsid w:val="00CA0364"/>
    <w:rsid w:val="00CA15B8"/>
    <w:rsid w:val="00CA30E3"/>
    <w:rsid w:val="00CA4595"/>
    <w:rsid w:val="00CA4B56"/>
    <w:rsid w:val="00CA7181"/>
    <w:rsid w:val="00CA78A6"/>
    <w:rsid w:val="00CB0787"/>
    <w:rsid w:val="00CB5834"/>
    <w:rsid w:val="00CB6563"/>
    <w:rsid w:val="00CB7333"/>
    <w:rsid w:val="00CC459C"/>
    <w:rsid w:val="00CC555F"/>
    <w:rsid w:val="00CC6051"/>
    <w:rsid w:val="00CD298D"/>
    <w:rsid w:val="00CE0865"/>
    <w:rsid w:val="00CE1720"/>
    <w:rsid w:val="00CE417E"/>
    <w:rsid w:val="00CE585D"/>
    <w:rsid w:val="00CE5F76"/>
    <w:rsid w:val="00CE60BD"/>
    <w:rsid w:val="00CE6624"/>
    <w:rsid w:val="00CE6DA8"/>
    <w:rsid w:val="00CF227D"/>
    <w:rsid w:val="00CF315D"/>
    <w:rsid w:val="00CF367E"/>
    <w:rsid w:val="00D035B3"/>
    <w:rsid w:val="00D03A21"/>
    <w:rsid w:val="00D05D30"/>
    <w:rsid w:val="00D075F3"/>
    <w:rsid w:val="00D077AB"/>
    <w:rsid w:val="00D07CBE"/>
    <w:rsid w:val="00D11576"/>
    <w:rsid w:val="00D1314A"/>
    <w:rsid w:val="00D154C1"/>
    <w:rsid w:val="00D15C29"/>
    <w:rsid w:val="00D15ECB"/>
    <w:rsid w:val="00D16578"/>
    <w:rsid w:val="00D21A16"/>
    <w:rsid w:val="00D2257C"/>
    <w:rsid w:val="00D24C95"/>
    <w:rsid w:val="00D24D92"/>
    <w:rsid w:val="00D26850"/>
    <w:rsid w:val="00D26B7E"/>
    <w:rsid w:val="00D2795C"/>
    <w:rsid w:val="00D27B9A"/>
    <w:rsid w:val="00D30FB0"/>
    <w:rsid w:val="00D31757"/>
    <w:rsid w:val="00D31D29"/>
    <w:rsid w:val="00D32814"/>
    <w:rsid w:val="00D32DF9"/>
    <w:rsid w:val="00D345EC"/>
    <w:rsid w:val="00D35C65"/>
    <w:rsid w:val="00D419F3"/>
    <w:rsid w:val="00D42EB4"/>
    <w:rsid w:val="00D43E9C"/>
    <w:rsid w:val="00D461A3"/>
    <w:rsid w:val="00D47B92"/>
    <w:rsid w:val="00D51A0F"/>
    <w:rsid w:val="00D51DF3"/>
    <w:rsid w:val="00D51F1D"/>
    <w:rsid w:val="00D529D6"/>
    <w:rsid w:val="00D52ADE"/>
    <w:rsid w:val="00D52FFF"/>
    <w:rsid w:val="00D5312D"/>
    <w:rsid w:val="00D5336D"/>
    <w:rsid w:val="00D55226"/>
    <w:rsid w:val="00D555E8"/>
    <w:rsid w:val="00D600A2"/>
    <w:rsid w:val="00D60A73"/>
    <w:rsid w:val="00D60B19"/>
    <w:rsid w:val="00D60C4A"/>
    <w:rsid w:val="00D6257F"/>
    <w:rsid w:val="00D63833"/>
    <w:rsid w:val="00D66B8A"/>
    <w:rsid w:val="00D67A47"/>
    <w:rsid w:val="00D714FA"/>
    <w:rsid w:val="00D732C2"/>
    <w:rsid w:val="00D76C7B"/>
    <w:rsid w:val="00D825AE"/>
    <w:rsid w:val="00D82C2D"/>
    <w:rsid w:val="00D84976"/>
    <w:rsid w:val="00D8569B"/>
    <w:rsid w:val="00D86B41"/>
    <w:rsid w:val="00D94BAA"/>
    <w:rsid w:val="00D95058"/>
    <w:rsid w:val="00D9609C"/>
    <w:rsid w:val="00D97EE5"/>
    <w:rsid w:val="00DA167C"/>
    <w:rsid w:val="00DA4422"/>
    <w:rsid w:val="00DA4C16"/>
    <w:rsid w:val="00DA5CAB"/>
    <w:rsid w:val="00DA606B"/>
    <w:rsid w:val="00DA698A"/>
    <w:rsid w:val="00DB0665"/>
    <w:rsid w:val="00DB32D2"/>
    <w:rsid w:val="00DB354C"/>
    <w:rsid w:val="00DB3FE5"/>
    <w:rsid w:val="00DB661B"/>
    <w:rsid w:val="00DB71A4"/>
    <w:rsid w:val="00DC4A5B"/>
    <w:rsid w:val="00DC68FA"/>
    <w:rsid w:val="00DC7C74"/>
    <w:rsid w:val="00DD01E9"/>
    <w:rsid w:val="00DD2EAE"/>
    <w:rsid w:val="00DD365E"/>
    <w:rsid w:val="00DD468A"/>
    <w:rsid w:val="00DD6EAF"/>
    <w:rsid w:val="00DE3EFB"/>
    <w:rsid w:val="00DE4C03"/>
    <w:rsid w:val="00DE5E0C"/>
    <w:rsid w:val="00DE6ECF"/>
    <w:rsid w:val="00DE7C02"/>
    <w:rsid w:val="00DF0468"/>
    <w:rsid w:val="00DF0B22"/>
    <w:rsid w:val="00DF5A5F"/>
    <w:rsid w:val="00DF617F"/>
    <w:rsid w:val="00DF7C54"/>
    <w:rsid w:val="00E03F7C"/>
    <w:rsid w:val="00E040E6"/>
    <w:rsid w:val="00E0683B"/>
    <w:rsid w:val="00E06BAA"/>
    <w:rsid w:val="00E10069"/>
    <w:rsid w:val="00E10B49"/>
    <w:rsid w:val="00E143BD"/>
    <w:rsid w:val="00E1655D"/>
    <w:rsid w:val="00E17BE0"/>
    <w:rsid w:val="00E17D62"/>
    <w:rsid w:val="00E20B5D"/>
    <w:rsid w:val="00E22493"/>
    <w:rsid w:val="00E2639F"/>
    <w:rsid w:val="00E26F2C"/>
    <w:rsid w:val="00E27D26"/>
    <w:rsid w:val="00E30CDB"/>
    <w:rsid w:val="00E30ED7"/>
    <w:rsid w:val="00E3278B"/>
    <w:rsid w:val="00E32936"/>
    <w:rsid w:val="00E32BF7"/>
    <w:rsid w:val="00E43332"/>
    <w:rsid w:val="00E4658C"/>
    <w:rsid w:val="00E4715E"/>
    <w:rsid w:val="00E47A71"/>
    <w:rsid w:val="00E47CAA"/>
    <w:rsid w:val="00E54411"/>
    <w:rsid w:val="00E5469D"/>
    <w:rsid w:val="00E54ECF"/>
    <w:rsid w:val="00E56F4D"/>
    <w:rsid w:val="00E579DC"/>
    <w:rsid w:val="00E57ABB"/>
    <w:rsid w:val="00E57E84"/>
    <w:rsid w:val="00E602C7"/>
    <w:rsid w:val="00E60C8B"/>
    <w:rsid w:val="00E631F1"/>
    <w:rsid w:val="00E64300"/>
    <w:rsid w:val="00E65742"/>
    <w:rsid w:val="00E67F9A"/>
    <w:rsid w:val="00E70CAA"/>
    <w:rsid w:val="00E71DEC"/>
    <w:rsid w:val="00E73B1F"/>
    <w:rsid w:val="00E74372"/>
    <w:rsid w:val="00E743DD"/>
    <w:rsid w:val="00E75607"/>
    <w:rsid w:val="00E770CD"/>
    <w:rsid w:val="00E77905"/>
    <w:rsid w:val="00E81935"/>
    <w:rsid w:val="00E8342D"/>
    <w:rsid w:val="00E843A3"/>
    <w:rsid w:val="00E851DB"/>
    <w:rsid w:val="00E90485"/>
    <w:rsid w:val="00E9063F"/>
    <w:rsid w:val="00E92C31"/>
    <w:rsid w:val="00E93733"/>
    <w:rsid w:val="00E954F2"/>
    <w:rsid w:val="00E96063"/>
    <w:rsid w:val="00E96D0C"/>
    <w:rsid w:val="00E97C22"/>
    <w:rsid w:val="00E97D8A"/>
    <w:rsid w:val="00EA0629"/>
    <w:rsid w:val="00EA4B45"/>
    <w:rsid w:val="00EA6103"/>
    <w:rsid w:val="00EA7603"/>
    <w:rsid w:val="00EB049A"/>
    <w:rsid w:val="00EB05A9"/>
    <w:rsid w:val="00EB05C8"/>
    <w:rsid w:val="00EC0A4B"/>
    <w:rsid w:val="00EC553F"/>
    <w:rsid w:val="00EC5766"/>
    <w:rsid w:val="00EC57D4"/>
    <w:rsid w:val="00ED03BF"/>
    <w:rsid w:val="00ED1FBA"/>
    <w:rsid w:val="00ED26F9"/>
    <w:rsid w:val="00ED2BED"/>
    <w:rsid w:val="00ED2D96"/>
    <w:rsid w:val="00ED2E50"/>
    <w:rsid w:val="00ED4564"/>
    <w:rsid w:val="00ED53F0"/>
    <w:rsid w:val="00ED57FE"/>
    <w:rsid w:val="00EE1547"/>
    <w:rsid w:val="00EE37C5"/>
    <w:rsid w:val="00EE5089"/>
    <w:rsid w:val="00EE7C90"/>
    <w:rsid w:val="00EF08FA"/>
    <w:rsid w:val="00EF0A9E"/>
    <w:rsid w:val="00EF0E30"/>
    <w:rsid w:val="00EF134B"/>
    <w:rsid w:val="00EF1B2A"/>
    <w:rsid w:val="00EF284F"/>
    <w:rsid w:val="00EF66A2"/>
    <w:rsid w:val="00EF723A"/>
    <w:rsid w:val="00F0090F"/>
    <w:rsid w:val="00F0182B"/>
    <w:rsid w:val="00F01A2B"/>
    <w:rsid w:val="00F01E1B"/>
    <w:rsid w:val="00F04F99"/>
    <w:rsid w:val="00F057E8"/>
    <w:rsid w:val="00F07AEC"/>
    <w:rsid w:val="00F1344C"/>
    <w:rsid w:val="00F1499E"/>
    <w:rsid w:val="00F15292"/>
    <w:rsid w:val="00F16166"/>
    <w:rsid w:val="00F16B8A"/>
    <w:rsid w:val="00F23A79"/>
    <w:rsid w:val="00F25C1C"/>
    <w:rsid w:val="00F25C69"/>
    <w:rsid w:val="00F26E46"/>
    <w:rsid w:val="00F26F9B"/>
    <w:rsid w:val="00F303BC"/>
    <w:rsid w:val="00F35275"/>
    <w:rsid w:val="00F3554E"/>
    <w:rsid w:val="00F35D57"/>
    <w:rsid w:val="00F40C0B"/>
    <w:rsid w:val="00F428BC"/>
    <w:rsid w:val="00F42C95"/>
    <w:rsid w:val="00F44F84"/>
    <w:rsid w:val="00F46135"/>
    <w:rsid w:val="00F466A1"/>
    <w:rsid w:val="00F467F7"/>
    <w:rsid w:val="00F52EF2"/>
    <w:rsid w:val="00F537BF"/>
    <w:rsid w:val="00F5420F"/>
    <w:rsid w:val="00F576FD"/>
    <w:rsid w:val="00F601FE"/>
    <w:rsid w:val="00F60658"/>
    <w:rsid w:val="00F62A7C"/>
    <w:rsid w:val="00F736A4"/>
    <w:rsid w:val="00F76234"/>
    <w:rsid w:val="00F76670"/>
    <w:rsid w:val="00F77482"/>
    <w:rsid w:val="00F85D99"/>
    <w:rsid w:val="00F870C6"/>
    <w:rsid w:val="00F87477"/>
    <w:rsid w:val="00F90058"/>
    <w:rsid w:val="00F91D46"/>
    <w:rsid w:val="00F9489B"/>
    <w:rsid w:val="00F94C60"/>
    <w:rsid w:val="00F96D50"/>
    <w:rsid w:val="00FA06E1"/>
    <w:rsid w:val="00FA1DDF"/>
    <w:rsid w:val="00FA1FD2"/>
    <w:rsid w:val="00FA32FA"/>
    <w:rsid w:val="00FA5336"/>
    <w:rsid w:val="00FA5AB2"/>
    <w:rsid w:val="00FA696E"/>
    <w:rsid w:val="00FB0081"/>
    <w:rsid w:val="00FB24E3"/>
    <w:rsid w:val="00FB4C96"/>
    <w:rsid w:val="00FB4F81"/>
    <w:rsid w:val="00FC1B7C"/>
    <w:rsid w:val="00FC38E9"/>
    <w:rsid w:val="00FC4C28"/>
    <w:rsid w:val="00FC6568"/>
    <w:rsid w:val="00FC77DE"/>
    <w:rsid w:val="00FD05D8"/>
    <w:rsid w:val="00FD192A"/>
    <w:rsid w:val="00FD1E2B"/>
    <w:rsid w:val="00FD2277"/>
    <w:rsid w:val="00FD2C0A"/>
    <w:rsid w:val="00FD5340"/>
    <w:rsid w:val="00FD6512"/>
    <w:rsid w:val="00FE3524"/>
    <w:rsid w:val="00FE3DA0"/>
    <w:rsid w:val="00FE49BF"/>
    <w:rsid w:val="00FE6AAC"/>
    <w:rsid w:val="00FF01B0"/>
    <w:rsid w:val="00FF142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9C146"/>
  <w15:chartTrackingRefBased/>
  <w15:docId w15:val="{5E2F5F82-E146-B845-8E45-783B598C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B1A"/>
    <w:pPr>
      <w:jc w:val="both"/>
    </w:pPr>
    <w:rPr>
      <w:rFonts w:ascii="Times New Roman" w:eastAsia="Times New Roman" w:hAnsi="Times New Roman" w:cs="Times New Roman"/>
    </w:rPr>
  </w:style>
  <w:style w:type="paragraph" w:styleId="Heading1">
    <w:name w:val="heading 1"/>
    <w:basedOn w:val="ListParagraph"/>
    <w:next w:val="Normal"/>
    <w:link w:val="Heading1Char"/>
    <w:uiPriority w:val="9"/>
    <w:qFormat/>
    <w:rsid w:val="001A7B1A"/>
    <w:pPr>
      <w:numPr>
        <w:numId w:val="1"/>
      </w:numPr>
      <w:outlineLvl w:val="0"/>
    </w:pPr>
    <w:rPr>
      <w:b/>
      <w:bCs/>
    </w:rPr>
  </w:style>
  <w:style w:type="paragraph" w:styleId="Heading2">
    <w:name w:val="heading 2"/>
    <w:basedOn w:val="ListParagraph"/>
    <w:next w:val="Normal"/>
    <w:link w:val="Heading2Char"/>
    <w:uiPriority w:val="9"/>
    <w:unhideWhenUsed/>
    <w:qFormat/>
    <w:rsid w:val="001A7B1A"/>
    <w:pPr>
      <w:numPr>
        <w:numId w:val="2"/>
      </w:numPr>
      <w:tabs>
        <w:tab w:val="left" w:pos="0"/>
      </w:tabs>
      <w:outlineLvl w:val="1"/>
    </w:pPr>
  </w:style>
  <w:style w:type="paragraph" w:styleId="Heading3">
    <w:name w:val="heading 3"/>
    <w:basedOn w:val="Heading1"/>
    <w:next w:val="Normal"/>
    <w:link w:val="Heading3Char"/>
    <w:uiPriority w:val="9"/>
    <w:unhideWhenUsed/>
    <w:qFormat/>
    <w:rsid w:val="008C4F1E"/>
    <w:pPr>
      <w:numPr>
        <w:numId w:val="32"/>
      </w:numPr>
      <w:ind w:left="567" w:hanging="567"/>
      <w:outlineLvl w:val="2"/>
    </w:pPr>
    <w:rPr>
      <w:bCs w:val="0"/>
      <w:i/>
    </w:rPr>
  </w:style>
  <w:style w:type="paragraph" w:styleId="Heading4">
    <w:name w:val="heading 4"/>
    <w:basedOn w:val="ListParagraph"/>
    <w:next w:val="Normal"/>
    <w:link w:val="Heading4Char"/>
    <w:uiPriority w:val="9"/>
    <w:unhideWhenUsed/>
    <w:qFormat/>
    <w:rsid w:val="001A7B1A"/>
    <w:pPr>
      <w:numPr>
        <w:numId w:val="4"/>
      </w:numPr>
      <w:ind w:left="567" w:hanging="567"/>
      <w:outlineLvl w:val="3"/>
    </w:pPr>
    <w:rPr>
      <w:i/>
      <w:iCs/>
    </w:rPr>
  </w:style>
  <w:style w:type="paragraph" w:styleId="Heading5">
    <w:name w:val="heading 5"/>
    <w:basedOn w:val="ListParagraph"/>
    <w:next w:val="Normal"/>
    <w:link w:val="Heading5Char"/>
    <w:uiPriority w:val="9"/>
    <w:unhideWhenUsed/>
    <w:qFormat/>
    <w:rsid w:val="008C4F1E"/>
    <w:pPr>
      <w:numPr>
        <w:numId w:val="31"/>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F4B"/>
    <w:pPr>
      <w:ind w:left="720"/>
      <w:contextualSpacing/>
    </w:pPr>
  </w:style>
  <w:style w:type="character" w:customStyle="1" w:styleId="Heading1Char">
    <w:name w:val="Heading 1 Char"/>
    <w:basedOn w:val="DefaultParagraphFont"/>
    <w:link w:val="Heading1"/>
    <w:uiPriority w:val="9"/>
    <w:rsid w:val="001A7B1A"/>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1A7B1A"/>
    <w:rPr>
      <w:rFonts w:ascii="Times New Roman" w:eastAsia="Times New Roman" w:hAnsi="Times New Roman" w:cs="Times New Roman"/>
    </w:rPr>
  </w:style>
  <w:style w:type="character" w:customStyle="1" w:styleId="Heading3Char">
    <w:name w:val="Heading 3 Char"/>
    <w:basedOn w:val="DefaultParagraphFont"/>
    <w:link w:val="Heading3"/>
    <w:uiPriority w:val="9"/>
    <w:rsid w:val="0077504C"/>
    <w:rPr>
      <w:rFonts w:ascii="Times New Roman" w:eastAsia="Times New Roman" w:hAnsi="Times New Roman" w:cs="Times New Roman"/>
      <w:b/>
      <w:i/>
    </w:rPr>
  </w:style>
  <w:style w:type="character" w:customStyle="1" w:styleId="Heading4Char">
    <w:name w:val="Heading 4 Char"/>
    <w:basedOn w:val="DefaultParagraphFont"/>
    <w:link w:val="Heading4"/>
    <w:uiPriority w:val="9"/>
    <w:rsid w:val="001A7B1A"/>
    <w:rPr>
      <w:rFonts w:ascii="Times New Roman" w:eastAsia="Times New Roman" w:hAnsi="Times New Roman" w:cs="Times New Roman"/>
      <w:i/>
      <w:iCs/>
    </w:rPr>
  </w:style>
  <w:style w:type="paragraph" w:styleId="FootnoteText">
    <w:name w:val="footnote text"/>
    <w:basedOn w:val="Normal"/>
    <w:link w:val="FootnoteTextChar"/>
    <w:uiPriority w:val="99"/>
    <w:unhideWhenUsed/>
    <w:qFormat/>
    <w:rsid w:val="001A7B1A"/>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1A7B1A"/>
    <w:rPr>
      <w:rFonts w:eastAsiaTheme="minorHAnsi" w:cs="Times New Roman"/>
      <w:sz w:val="20"/>
      <w:szCs w:val="20"/>
      <w:lang w:eastAsia="en-US"/>
    </w:rPr>
  </w:style>
  <w:style w:type="character" w:styleId="FootnoteReference">
    <w:name w:val="footnote reference"/>
    <w:basedOn w:val="DefaultParagraphFont"/>
    <w:uiPriority w:val="99"/>
    <w:semiHidden/>
    <w:unhideWhenUsed/>
    <w:rsid w:val="001A7B1A"/>
    <w:rPr>
      <w:vertAlign w:val="superscript"/>
    </w:rPr>
  </w:style>
  <w:style w:type="character" w:customStyle="1" w:styleId="Heading5Char">
    <w:name w:val="Heading 5 Char"/>
    <w:basedOn w:val="DefaultParagraphFont"/>
    <w:link w:val="Heading5"/>
    <w:uiPriority w:val="9"/>
    <w:rsid w:val="00EA7603"/>
    <w:rPr>
      <w:rFonts w:ascii="Times New Roman" w:eastAsia="Times New Roman" w:hAnsi="Times New Roman" w:cs="Times New Roman"/>
    </w:rPr>
  </w:style>
  <w:style w:type="paragraph" w:styleId="Header">
    <w:name w:val="header"/>
    <w:basedOn w:val="Normal"/>
    <w:link w:val="HeaderChar"/>
    <w:uiPriority w:val="99"/>
    <w:unhideWhenUsed/>
    <w:rsid w:val="00E73B1F"/>
    <w:pPr>
      <w:tabs>
        <w:tab w:val="center" w:pos="4513"/>
        <w:tab w:val="right" w:pos="9026"/>
      </w:tabs>
    </w:pPr>
  </w:style>
  <w:style w:type="character" w:customStyle="1" w:styleId="HeaderChar">
    <w:name w:val="Header Char"/>
    <w:basedOn w:val="DefaultParagraphFont"/>
    <w:link w:val="Header"/>
    <w:uiPriority w:val="99"/>
    <w:rsid w:val="00E73B1F"/>
    <w:rPr>
      <w:rFonts w:ascii="Times New Roman" w:eastAsia="Times New Roman" w:hAnsi="Times New Roman" w:cs="Times New Roman"/>
    </w:rPr>
  </w:style>
  <w:style w:type="paragraph" w:styleId="Footer">
    <w:name w:val="footer"/>
    <w:basedOn w:val="Normal"/>
    <w:link w:val="FooterChar"/>
    <w:uiPriority w:val="99"/>
    <w:unhideWhenUsed/>
    <w:rsid w:val="00E73B1F"/>
    <w:pPr>
      <w:tabs>
        <w:tab w:val="center" w:pos="4513"/>
        <w:tab w:val="right" w:pos="9026"/>
      </w:tabs>
    </w:pPr>
  </w:style>
  <w:style w:type="character" w:customStyle="1" w:styleId="FooterChar">
    <w:name w:val="Footer Char"/>
    <w:basedOn w:val="DefaultParagraphFont"/>
    <w:link w:val="Footer"/>
    <w:uiPriority w:val="99"/>
    <w:rsid w:val="00E73B1F"/>
    <w:rPr>
      <w:rFonts w:ascii="Times New Roman" w:eastAsia="Times New Roman" w:hAnsi="Times New Roman" w:cs="Times New Roman"/>
    </w:rPr>
  </w:style>
  <w:style w:type="paragraph" w:styleId="Revision">
    <w:name w:val="Revision"/>
    <w:hidden/>
    <w:uiPriority w:val="99"/>
    <w:semiHidden/>
    <w:rsid w:val="004661A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661A4"/>
    <w:rPr>
      <w:sz w:val="16"/>
      <w:szCs w:val="16"/>
    </w:rPr>
  </w:style>
  <w:style w:type="paragraph" w:styleId="CommentText">
    <w:name w:val="annotation text"/>
    <w:basedOn w:val="Normal"/>
    <w:link w:val="CommentTextChar"/>
    <w:uiPriority w:val="99"/>
    <w:semiHidden/>
    <w:unhideWhenUsed/>
    <w:rsid w:val="004661A4"/>
    <w:rPr>
      <w:sz w:val="20"/>
      <w:szCs w:val="20"/>
    </w:rPr>
  </w:style>
  <w:style w:type="character" w:customStyle="1" w:styleId="CommentTextChar">
    <w:name w:val="Comment Text Char"/>
    <w:basedOn w:val="DefaultParagraphFont"/>
    <w:link w:val="CommentText"/>
    <w:uiPriority w:val="99"/>
    <w:semiHidden/>
    <w:rsid w:val="004661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61A4"/>
    <w:rPr>
      <w:b/>
      <w:bCs/>
    </w:rPr>
  </w:style>
  <w:style w:type="character" w:customStyle="1" w:styleId="CommentSubjectChar">
    <w:name w:val="Comment Subject Char"/>
    <w:basedOn w:val="CommentTextChar"/>
    <w:link w:val="CommentSubject"/>
    <w:uiPriority w:val="99"/>
    <w:semiHidden/>
    <w:rsid w:val="004661A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1239">
      <w:bodyDiv w:val="1"/>
      <w:marLeft w:val="0"/>
      <w:marRight w:val="0"/>
      <w:marTop w:val="0"/>
      <w:marBottom w:val="0"/>
      <w:divBdr>
        <w:top w:val="none" w:sz="0" w:space="0" w:color="auto"/>
        <w:left w:val="none" w:sz="0" w:space="0" w:color="auto"/>
        <w:bottom w:val="none" w:sz="0" w:space="0" w:color="auto"/>
        <w:right w:val="none" w:sz="0" w:space="0" w:color="auto"/>
      </w:divBdr>
      <w:divsChild>
        <w:div w:id="514995985">
          <w:marLeft w:val="0"/>
          <w:marRight w:val="0"/>
          <w:marTop w:val="0"/>
          <w:marBottom w:val="0"/>
          <w:divBdr>
            <w:top w:val="none" w:sz="0" w:space="0" w:color="auto"/>
            <w:left w:val="none" w:sz="0" w:space="0" w:color="auto"/>
            <w:bottom w:val="none" w:sz="0" w:space="0" w:color="auto"/>
            <w:right w:val="none" w:sz="0" w:space="0" w:color="auto"/>
          </w:divBdr>
          <w:divsChild>
            <w:div w:id="1338340851">
              <w:marLeft w:val="0"/>
              <w:marRight w:val="0"/>
              <w:marTop w:val="0"/>
              <w:marBottom w:val="0"/>
              <w:divBdr>
                <w:top w:val="none" w:sz="0" w:space="0" w:color="auto"/>
                <w:left w:val="none" w:sz="0" w:space="0" w:color="auto"/>
                <w:bottom w:val="none" w:sz="0" w:space="0" w:color="auto"/>
                <w:right w:val="none" w:sz="0" w:space="0" w:color="auto"/>
              </w:divBdr>
              <w:divsChild>
                <w:div w:id="7734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02878">
      <w:bodyDiv w:val="1"/>
      <w:marLeft w:val="0"/>
      <w:marRight w:val="0"/>
      <w:marTop w:val="0"/>
      <w:marBottom w:val="0"/>
      <w:divBdr>
        <w:top w:val="none" w:sz="0" w:space="0" w:color="auto"/>
        <w:left w:val="none" w:sz="0" w:space="0" w:color="auto"/>
        <w:bottom w:val="none" w:sz="0" w:space="0" w:color="auto"/>
        <w:right w:val="none" w:sz="0" w:space="0" w:color="auto"/>
      </w:divBdr>
      <w:divsChild>
        <w:div w:id="745348195">
          <w:marLeft w:val="0"/>
          <w:marRight w:val="0"/>
          <w:marTop w:val="0"/>
          <w:marBottom w:val="0"/>
          <w:divBdr>
            <w:top w:val="none" w:sz="0" w:space="0" w:color="auto"/>
            <w:left w:val="none" w:sz="0" w:space="0" w:color="auto"/>
            <w:bottom w:val="none" w:sz="0" w:space="0" w:color="auto"/>
            <w:right w:val="none" w:sz="0" w:space="0" w:color="auto"/>
          </w:divBdr>
          <w:divsChild>
            <w:div w:id="1541436128">
              <w:marLeft w:val="0"/>
              <w:marRight w:val="0"/>
              <w:marTop w:val="0"/>
              <w:marBottom w:val="0"/>
              <w:divBdr>
                <w:top w:val="none" w:sz="0" w:space="0" w:color="auto"/>
                <w:left w:val="none" w:sz="0" w:space="0" w:color="auto"/>
                <w:bottom w:val="none" w:sz="0" w:space="0" w:color="auto"/>
                <w:right w:val="none" w:sz="0" w:space="0" w:color="auto"/>
              </w:divBdr>
              <w:divsChild>
                <w:div w:id="2019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45059">
      <w:bodyDiv w:val="1"/>
      <w:marLeft w:val="0"/>
      <w:marRight w:val="0"/>
      <w:marTop w:val="0"/>
      <w:marBottom w:val="0"/>
      <w:divBdr>
        <w:top w:val="none" w:sz="0" w:space="0" w:color="auto"/>
        <w:left w:val="none" w:sz="0" w:space="0" w:color="auto"/>
        <w:bottom w:val="none" w:sz="0" w:space="0" w:color="auto"/>
        <w:right w:val="none" w:sz="0" w:space="0" w:color="auto"/>
      </w:divBdr>
      <w:divsChild>
        <w:div w:id="2079161991">
          <w:marLeft w:val="0"/>
          <w:marRight w:val="0"/>
          <w:marTop w:val="0"/>
          <w:marBottom w:val="0"/>
          <w:divBdr>
            <w:top w:val="none" w:sz="0" w:space="0" w:color="auto"/>
            <w:left w:val="none" w:sz="0" w:space="0" w:color="auto"/>
            <w:bottom w:val="none" w:sz="0" w:space="0" w:color="auto"/>
            <w:right w:val="none" w:sz="0" w:space="0" w:color="auto"/>
          </w:divBdr>
          <w:divsChild>
            <w:div w:id="371393079">
              <w:marLeft w:val="0"/>
              <w:marRight w:val="0"/>
              <w:marTop w:val="0"/>
              <w:marBottom w:val="0"/>
              <w:divBdr>
                <w:top w:val="none" w:sz="0" w:space="0" w:color="auto"/>
                <w:left w:val="none" w:sz="0" w:space="0" w:color="auto"/>
                <w:bottom w:val="none" w:sz="0" w:space="0" w:color="auto"/>
                <w:right w:val="none" w:sz="0" w:space="0" w:color="auto"/>
              </w:divBdr>
              <w:divsChild>
                <w:div w:id="450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7315">
      <w:bodyDiv w:val="1"/>
      <w:marLeft w:val="0"/>
      <w:marRight w:val="0"/>
      <w:marTop w:val="0"/>
      <w:marBottom w:val="0"/>
      <w:divBdr>
        <w:top w:val="none" w:sz="0" w:space="0" w:color="auto"/>
        <w:left w:val="none" w:sz="0" w:space="0" w:color="auto"/>
        <w:bottom w:val="none" w:sz="0" w:space="0" w:color="auto"/>
        <w:right w:val="none" w:sz="0" w:space="0" w:color="auto"/>
      </w:divBdr>
      <w:divsChild>
        <w:div w:id="940181069">
          <w:marLeft w:val="0"/>
          <w:marRight w:val="0"/>
          <w:marTop w:val="0"/>
          <w:marBottom w:val="0"/>
          <w:divBdr>
            <w:top w:val="none" w:sz="0" w:space="0" w:color="auto"/>
            <w:left w:val="none" w:sz="0" w:space="0" w:color="auto"/>
            <w:bottom w:val="none" w:sz="0" w:space="0" w:color="auto"/>
            <w:right w:val="none" w:sz="0" w:space="0" w:color="auto"/>
          </w:divBdr>
          <w:divsChild>
            <w:div w:id="1231883656">
              <w:marLeft w:val="0"/>
              <w:marRight w:val="0"/>
              <w:marTop w:val="0"/>
              <w:marBottom w:val="0"/>
              <w:divBdr>
                <w:top w:val="none" w:sz="0" w:space="0" w:color="auto"/>
                <w:left w:val="none" w:sz="0" w:space="0" w:color="auto"/>
                <w:bottom w:val="none" w:sz="0" w:space="0" w:color="auto"/>
                <w:right w:val="none" w:sz="0" w:space="0" w:color="auto"/>
              </w:divBdr>
              <w:divsChild>
                <w:div w:id="19649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6014">
      <w:bodyDiv w:val="1"/>
      <w:marLeft w:val="0"/>
      <w:marRight w:val="0"/>
      <w:marTop w:val="0"/>
      <w:marBottom w:val="0"/>
      <w:divBdr>
        <w:top w:val="none" w:sz="0" w:space="0" w:color="auto"/>
        <w:left w:val="none" w:sz="0" w:space="0" w:color="auto"/>
        <w:bottom w:val="none" w:sz="0" w:space="0" w:color="auto"/>
        <w:right w:val="none" w:sz="0" w:space="0" w:color="auto"/>
      </w:divBdr>
      <w:divsChild>
        <w:div w:id="2065710836">
          <w:marLeft w:val="0"/>
          <w:marRight w:val="0"/>
          <w:marTop w:val="0"/>
          <w:marBottom w:val="0"/>
          <w:divBdr>
            <w:top w:val="none" w:sz="0" w:space="0" w:color="auto"/>
            <w:left w:val="none" w:sz="0" w:space="0" w:color="auto"/>
            <w:bottom w:val="none" w:sz="0" w:space="0" w:color="auto"/>
            <w:right w:val="none" w:sz="0" w:space="0" w:color="auto"/>
          </w:divBdr>
          <w:divsChild>
            <w:div w:id="828132681">
              <w:marLeft w:val="0"/>
              <w:marRight w:val="0"/>
              <w:marTop w:val="0"/>
              <w:marBottom w:val="0"/>
              <w:divBdr>
                <w:top w:val="none" w:sz="0" w:space="0" w:color="auto"/>
                <w:left w:val="none" w:sz="0" w:space="0" w:color="auto"/>
                <w:bottom w:val="none" w:sz="0" w:space="0" w:color="auto"/>
                <w:right w:val="none" w:sz="0" w:space="0" w:color="auto"/>
              </w:divBdr>
              <w:divsChild>
                <w:div w:id="15816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50412">
      <w:bodyDiv w:val="1"/>
      <w:marLeft w:val="0"/>
      <w:marRight w:val="0"/>
      <w:marTop w:val="0"/>
      <w:marBottom w:val="0"/>
      <w:divBdr>
        <w:top w:val="none" w:sz="0" w:space="0" w:color="auto"/>
        <w:left w:val="none" w:sz="0" w:space="0" w:color="auto"/>
        <w:bottom w:val="none" w:sz="0" w:space="0" w:color="auto"/>
        <w:right w:val="none" w:sz="0" w:space="0" w:color="auto"/>
      </w:divBdr>
      <w:divsChild>
        <w:div w:id="121458696">
          <w:marLeft w:val="0"/>
          <w:marRight w:val="0"/>
          <w:marTop w:val="0"/>
          <w:marBottom w:val="0"/>
          <w:divBdr>
            <w:top w:val="none" w:sz="0" w:space="0" w:color="auto"/>
            <w:left w:val="none" w:sz="0" w:space="0" w:color="auto"/>
            <w:bottom w:val="none" w:sz="0" w:space="0" w:color="auto"/>
            <w:right w:val="none" w:sz="0" w:space="0" w:color="auto"/>
          </w:divBdr>
          <w:divsChild>
            <w:div w:id="333143423">
              <w:marLeft w:val="0"/>
              <w:marRight w:val="0"/>
              <w:marTop w:val="0"/>
              <w:marBottom w:val="0"/>
              <w:divBdr>
                <w:top w:val="none" w:sz="0" w:space="0" w:color="auto"/>
                <w:left w:val="none" w:sz="0" w:space="0" w:color="auto"/>
                <w:bottom w:val="none" w:sz="0" w:space="0" w:color="auto"/>
                <w:right w:val="none" w:sz="0" w:space="0" w:color="auto"/>
              </w:divBdr>
              <w:divsChild>
                <w:div w:id="9247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2501">
      <w:bodyDiv w:val="1"/>
      <w:marLeft w:val="0"/>
      <w:marRight w:val="0"/>
      <w:marTop w:val="0"/>
      <w:marBottom w:val="0"/>
      <w:divBdr>
        <w:top w:val="none" w:sz="0" w:space="0" w:color="auto"/>
        <w:left w:val="none" w:sz="0" w:space="0" w:color="auto"/>
        <w:bottom w:val="none" w:sz="0" w:space="0" w:color="auto"/>
        <w:right w:val="none" w:sz="0" w:space="0" w:color="auto"/>
      </w:divBdr>
      <w:divsChild>
        <w:div w:id="1894270950">
          <w:marLeft w:val="0"/>
          <w:marRight w:val="0"/>
          <w:marTop w:val="0"/>
          <w:marBottom w:val="0"/>
          <w:divBdr>
            <w:top w:val="none" w:sz="0" w:space="0" w:color="auto"/>
            <w:left w:val="none" w:sz="0" w:space="0" w:color="auto"/>
            <w:bottom w:val="none" w:sz="0" w:space="0" w:color="auto"/>
            <w:right w:val="none" w:sz="0" w:space="0" w:color="auto"/>
          </w:divBdr>
          <w:divsChild>
            <w:div w:id="310914307">
              <w:marLeft w:val="0"/>
              <w:marRight w:val="0"/>
              <w:marTop w:val="0"/>
              <w:marBottom w:val="0"/>
              <w:divBdr>
                <w:top w:val="none" w:sz="0" w:space="0" w:color="auto"/>
                <w:left w:val="none" w:sz="0" w:space="0" w:color="auto"/>
                <w:bottom w:val="none" w:sz="0" w:space="0" w:color="auto"/>
                <w:right w:val="none" w:sz="0" w:space="0" w:color="auto"/>
              </w:divBdr>
              <w:divsChild>
                <w:div w:id="5487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24917">
      <w:bodyDiv w:val="1"/>
      <w:marLeft w:val="0"/>
      <w:marRight w:val="0"/>
      <w:marTop w:val="0"/>
      <w:marBottom w:val="0"/>
      <w:divBdr>
        <w:top w:val="none" w:sz="0" w:space="0" w:color="auto"/>
        <w:left w:val="none" w:sz="0" w:space="0" w:color="auto"/>
        <w:bottom w:val="none" w:sz="0" w:space="0" w:color="auto"/>
        <w:right w:val="none" w:sz="0" w:space="0" w:color="auto"/>
      </w:divBdr>
      <w:divsChild>
        <w:div w:id="143552175">
          <w:marLeft w:val="0"/>
          <w:marRight w:val="0"/>
          <w:marTop w:val="0"/>
          <w:marBottom w:val="0"/>
          <w:divBdr>
            <w:top w:val="none" w:sz="0" w:space="0" w:color="auto"/>
            <w:left w:val="none" w:sz="0" w:space="0" w:color="auto"/>
            <w:bottom w:val="none" w:sz="0" w:space="0" w:color="auto"/>
            <w:right w:val="none" w:sz="0" w:space="0" w:color="auto"/>
          </w:divBdr>
          <w:divsChild>
            <w:div w:id="624967488">
              <w:marLeft w:val="0"/>
              <w:marRight w:val="0"/>
              <w:marTop w:val="0"/>
              <w:marBottom w:val="0"/>
              <w:divBdr>
                <w:top w:val="none" w:sz="0" w:space="0" w:color="auto"/>
                <w:left w:val="none" w:sz="0" w:space="0" w:color="auto"/>
                <w:bottom w:val="none" w:sz="0" w:space="0" w:color="auto"/>
                <w:right w:val="none" w:sz="0" w:space="0" w:color="auto"/>
              </w:divBdr>
              <w:divsChild>
                <w:div w:id="8228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2747">
      <w:bodyDiv w:val="1"/>
      <w:marLeft w:val="0"/>
      <w:marRight w:val="0"/>
      <w:marTop w:val="0"/>
      <w:marBottom w:val="0"/>
      <w:divBdr>
        <w:top w:val="none" w:sz="0" w:space="0" w:color="auto"/>
        <w:left w:val="none" w:sz="0" w:space="0" w:color="auto"/>
        <w:bottom w:val="none" w:sz="0" w:space="0" w:color="auto"/>
        <w:right w:val="none" w:sz="0" w:space="0" w:color="auto"/>
      </w:divBdr>
      <w:divsChild>
        <w:div w:id="1549759442">
          <w:marLeft w:val="0"/>
          <w:marRight w:val="0"/>
          <w:marTop w:val="0"/>
          <w:marBottom w:val="0"/>
          <w:divBdr>
            <w:top w:val="none" w:sz="0" w:space="0" w:color="auto"/>
            <w:left w:val="none" w:sz="0" w:space="0" w:color="auto"/>
            <w:bottom w:val="none" w:sz="0" w:space="0" w:color="auto"/>
            <w:right w:val="none" w:sz="0" w:space="0" w:color="auto"/>
          </w:divBdr>
          <w:divsChild>
            <w:div w:id="1993101283">
              <w:marLeft w:val="0"/>
              <w:marRight w:val="0"/>
              <w:marTop w:val="0"/>
              <w:marBottom w:val="0"/>
              <w:divBdr>
                <w:top w:val="none" w:sz="0" w:space="0" w:color="auto"/>
                <w:left w:val="none" w:sz="0" w:space="0" w:color="auto"/>
                <w:bottom w:val="none" w:sz="0" w:space="0" w:color="auto"/>
                <w:right w:val="none" w:sz="0" w:space="0" w:color="auto"/>
              </w:divBdr>
              <w:divsChild>
                <w:div w:id="8379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9023">
      <w:bodyDiv w:val="1"/>
      <w:marLeft w:val="0"/>
      <w:marRight w:val="0"/>
      <w:marTop w:val="0"/>
      <w:marBottom w:val="0"/>
      <w:divBdr>
        <w:top w:val="none" w:sz="0" w:space="0" w:color="auto"/>
        <w:left w:val="none" w:sz="0" w:space="0" w:color="auto"/>
        <w:bottom w:val="none" w:sz="0" w:space="0" w:color="auto"/>
        <w:right w:val="none" w:sz="0" w:space="0" w:color="auto"/>
      </w:divBdr>
      <w:divsChild>
        <w:div w:id="1331299645">
          <w:marLeft w:val="0"/>
          <w:marRight w:val="0"/>
          <w:marTop w:val="0"/>
          <w:marBottom w:val="0"/>
          <w:divBdr>
            <w:top w:val="none" w:sz="0" w:space="0" w:color="auto"/>
            <w:left w:val="none" w:sz="0" w:space="0" w:color="auto"/>
            <w:bottom w:val="none" w:sz="0" w:space="0" w:color="auto"/>
            <w:right w:val="none" w:sz="0" w:space="0" w:color="auto"/>
          </w:divBdr>
          <w:divsChild>
            <w:div w:id="176509523">
              <w:marLeft w:val="0"/>
              <w:marRight w:val="0"/>
              <w:marTop w:val="0"/>
              <w:marBottom w:val="0"/>
              <w:divBdr>
                <w:top w:val="none" w:sz="0" w:space="0" w:color="auto"/>
                <w:left w:val="none" w:sz="0" w:space="0" w:color="auto"/>
                <w:bottom w:val="none" w:sz="0" w:space="0" w:color="auto"/>
                <w:right w:val="none" w:sz="0" w:space="0" w:color="auto"/>
              </w:divBdr>
              <w:divsChild>
                <w:div w:id="8081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63518">
      <w:bodyDiv w:val="1"/>
      <w:marLeft w:val="0"/>
      <w:marRight w:val="0"/>
      <w:marTop w:val="0"/>
      <w:marBottom w:val="0"/>
      <w:divBdr>
        <w:top w:val="none" w:sz="0" w:space="0" w:color="auto"/>
        <w:left w:val="none" w:sz="0" w:space="0" w:color="auto"/>
        <w:bottom w:val="none" w:sz="0" w:space="0" w:color="auto"/>
        <w:right w:val="none" w:sz="0" w:space="0" w:color="auto"/>
      </w:divBdr>
      <w:divsChild>
        <w:div w:id="1485582669">
          <w:marLeft w:val="0"/>
          <w:marRight w:val="0"/>
          <w:marTop w:val="0"/>
          <w:marBottom w:val="0"/>
          <w:divBdr>
            <w:top w:val="none" w:sz="0" w:space="0" w:color="auto"/>
            <w:left w:val="none" w:sz="0" w:space="0" w:color="auto"/>
            <w:bottom w:val="none" w:sz="0" w:space="0" w:color="auto"/>
            <w:right w:val="none" w:sz="0" w:space="0" w:color="auto"/>
          </w:divBdr>
          <w:divsChild>
            <w:div w:id="1395271845">
              <w:marLeft w:val="0"/>
              <w:marRight w:val="0"/>
              <w:marTop w:val="0"/>
              <w:marBottom w:val="0"/>
              <w:divBdr>
                <w:top w:val="none" w:sz="0" w:space="0" w:color="auto"/>
                <w:left w:val="none" w:sz="0" w:space="0" w:color="auto"/>
                <w:bottom w:val="none" w:sz="0" w:space="0" w:color="auto"/>
                <w:right w:val="none" w:sz="0" w:space="0" w:color="auto"/>
              </w:divBdr>
              <w:divsChild>
                <w:div w:id="20929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4999">
      <w:bodyDiv w:val="1"/>
      <w:marLeft w:val="0"/>
      <w:marRight w:val="0"/>
      <w:marTop w:val="0"/>
      <w:marBottom w:val="0"/>
      <w:divBdr>
        <w:top w:val="none" w:sz="0" w:space="0" w:color="auto"/>
        <w:left w:val="none" w:sz="0" w:space="0" w:color="auto"/>
        <w:bottom w:val="none" w:sz="0" w:space="0" w:color="auto"/>
        <w:right w:val="none" w:sz="0" w:space="0" w:color="auto"/>
      </w:divBdr>
      <w:divsChild>
        <w:div w:id="1962567510">
          <w:marLeft w:val="0"/>
          <w:marRight w:val="0"/>
          <w:marTop w:val="0"/>
          <w:marBottom w:val="0"/>
          <w:divBdr>
            <w:top w:val="none" w:sz="0" w:space="0" w:color="auto"/>
            <w:left w:val="none" w:sz="0" w:space="0" w:color="auto"/>
            <w:bottom w:val="none" w:sz="0" w:space="0" w:color="auto"/>
            <w:right w:val="none" w:sz="0" w:space="0" w:color="auto"/>
          </w:divBdr>
          <w:divsChild>
            <w:div w:id="1721249301">
              <w:marLeft w:val="0"/>
              <w:marRight w:val="0"/>
              <w:marTop w:val="0"/>
              <w:marBottom w:val="0"/>
              <w:divBdr>
                <w:top w:val="none" w:sz="0" w:space="0" w:color="auto"/>
                <w:left w:val="none" w:sz="0" w:space="0" w:color="auto"/>
                <w:bottom w:val="none" w:sz="0" w:space="0" w:color="auto"/>
                <w:right w:val="none" w:sz="0" w:space="0" w:color="auto"/>
              </w:divBdr>
              <w:divsChild>
                <w:div w:id="5254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9492">
      <w:bodyDiv w:val="1"/>
      <w:marLeft w:val="0"/>
      <w:marRight w:val="0"/>
      <w:marTop w:val="0"/>
      <w:marBottom w:val="0"/>
      <w:divBdr>
        <w:top w:val="none" w:sz="0" w:space="0" w:color="auto"/>
        <w:left w:val="none" w:sz="0" w:space="0" w:color="auto"/>
        <w:bottom w:val="none" w:sz="0" w:space="0" w:color="auto"/>
        <w:right w:val="none" w:sz="0" w:space="0" w:color="auto"/>
      </w:divBdr>
      <w:divsChild>
        <w:div w:id="2120560306">
          <w:marLeft w:val="0"/>
          <w:marRight w:val="0"/>
          <w:marTop w:val="0"/>
          <w:marBottom w:val="0"/>
          <w:divBdr>
            <w:top w:val="none" w:sz="0" w:space="0" w:color="auto"/>
            <w:left w:val="none" w:sz="0" w:space="0" w:color="auto"/>
            <w:bottom w:val="none" w:sz="0" w:space="0" w:color="auto"/>
            <w:right w:val="none" w:sz="0" w:space="0" w:color="auto"/>
          </w:divBdr>
          <w:divsChild>
            <w:div w:id="72553476">
              <w:marLeft w:val="0"/>
              <w:marRight w:val="0"/>
              <w:marTop w:val="0"/>
              <w:marBottom w:val="0"/>
              <w:divBdr>
                <w:top w:val="none" w:sz="0" w:space="0" w:color="auto"/>
                <w:left w:val="none" w:sz="0" w:space="0" w:color="auto"/>
                <w:bottom w:val="none" w:sz="0" w:space="0" w:color="auto"/>
                <w:right w:val="none" w:sz="0" w:space="0" w:color="auto"/>
              </w:divBdr>
              <w:divsChild>
                <w:div w:id="18993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BE5E6-0AAE-C14A-9712-B8F4B804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3870</Words>
  <Characters>21557</Characters>
  <Application>Microsoft Office Word</Application>
  <DocSecurity>0</DocSecurity>
  <Lines>468</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LOK Kaixin</dc:creator>
  <cp:keywords/>
  <dc:description/>
  <cp:lastModifiedBy>Megan CHUA Yih Wen</cp:lastModifiedBy>
  <cp:revision>2</cp:revision>
  <dcterms:created xsi:type="dcterms:W3CDTF">2022-10-03T14:59:00Z</dcterms:created>
  <dcterms:modified xsi:type="dcterms:W3CDTF">2022-10-03T14:59:00Z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756f9c-e3e7-4810-90da-ea6bfb97c434_Enabled">
    <vt:lpwstr>true</vt:lpwstr>
  </property>
  <property fmtid="{D5CDD505-2E9C-101B-9397-08002B2CF9AE}" pid="3" name="MSIP_Label_1e756f9c-e3e7-4810-90da-ea6bfb97c434_SetDate">
    <vt:lpwstr>2022-07-24T08:05:19Z</vt:lpwstr>
  </property>
  <property fmtid="{D5CDD505-2E9C-101B-9397-08002B2CF9AE}" pid="4" name="MSIP_Label_1e756f9c-e3e7-4810-90da-ea6bfb97c434_Method">
    <vt:lpwstr>Privileged</vt:lpwstr>
  </property>
  <property fmtid="{D5CDD505-2E9C-101B-9397-08002B2CF9AE}" pid="5" name="MSIP_Label_1e756f9c-e3e7-4810-90da-ea6bfb97c434_Name">
    <vt:lpwstr>1e756f9c-e3e7-4810-90da-ea6bfb97c434</vt:lpwstr>
  </property>
  <property fmtid="{D5CDD505-2E9C-101B-9397-08002B2CF9AE}" pid="6" name="MSIP_Label_1e756f9c-e3e7-4810-90da-ea6bfb97c434_SiteId">
    <vt:lpwstr>c98a79ca-5a9a-4791-a243-f06afd67464d</vt:lpwstr>
  </property>
  <property fmtid="{D5CDD505-2E9C-101B-9397-08002B2CF9AE}" pid="7" name="MSIP_Label_1e756f9c-e3e7-4810-90da-ea6bfb97c434_ActionId">
    <vt:lpwstr>cc9a9403-3ca2-406b-983c-a99de9d6b1c2</vt:lpwstr>
  </property>
  <property fmtid="{D5CDD505-2E9C-101B-9397-08002B2CF9AE}" pid="8" name="MSIP_Label_1e756f9c-e3e7-4810-90da-ea6bfb97c434_ContentBits">
    <vt:lpwstr>0</vt:lpwstr>
  </property>
  <property fmtid="{D5CDD505-2E9C-101B-9397-08002B2CF9AE}" pid="9" name="MSIP_Label_5434c4c7-833e-41e4-b0ab-cdb227a2f6f7_Enabled">
    <vt:lpwstr>true</vt:lpwstr>
  </property>
  <property fmtid="{D5CDD505-2E9C-101B-9397-08002B2CF9AE}" pid="10" name="MSIP_Label_5434c4c7-833e-41e4-b0ab-cdb227a2f6f7_SetDate">
    <vt:lpwstr>2022-09-19T01:58:03Z</vt:lpwstr>
  </property>
  <property fmtid="{D5CDD505-2E9C-101B-9397-08002B2CF9AE}" pid="11" name="MSIP_Label_5434c4c7-833e-41e4-b0ab-cdb227a2f6f7_Method">
    <vt:lpwstr>Privileged</vt:lpwstr>
  </property>
  <property fmtid="{D5CDD505-2E9C-101B-9397-08002B2CF9AE}" pid="12" name="MSIP_Label_5434c4c7-833e-41e4-b0ab-cdb227a2f6f7_Name">
    <vt:lpwstr>Official (Open)</vt:lpwstr>
  </property>
  <property fmtid="{D5CDD505-2E9C-101B-9397-08002B2CF9AE}" pid="13" name="MSIP_Label_5434c4c7-833e-41e4-b0ab-cdb227a2f6f7_SiteId">
    <vt:lpwstr>0b11c524-9a1c-4e1b-84cb-6336aefc2243</vt:lpwstr>
  </property>
  <property fmtid="{D5CDD505-2E9C-101B-9397-08002B2CF9AE}" pid="14" name="MSIP_Label_5434c4c7-833e-41e4-b0ab-cdb227a2f6f7_ActionId">
    <vt:lpwstr>65475d4e-7a4a-41b5-87b4-8858df0a654a</vt:lpwstr>
  </property>
  <property fmtid="{D5CDD505-2E9C-101B-9397-08002B2CF9AE}" pid="15" name="MSIP_Label_5434c4c7-833e-41e4-b0ab-cdb227a2f6f7_ContentBits">
    <vt:lpwstr>0</vt:lpwstr>
  </property>
</Properties>
</file>