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4BFA" w14:textId="77777777" w:rsidR="00CF23A9" w:rsidRPr="00DF053B" w:rsidRDefault="00BB7285" w:rsidP="006910BD">
      <w:pPr>
        <w:widowControl w:val="0"/>
        <w:spacing w:line="240" w:lineRule="auto"/>
        <w:ind w:left="0"/>
        <w:jc w:val="center"/>
        <w:rPr>
          <w:rFonts w:ascii="Times New Roman" w:hAnsi="Times New Roman" w:cs="Times New Roman"/>
          <w:b/>
          <w:bCs/>
        </w:rPr>
      </w:pPr>
      <w:r w:rsidRPr="00DF053B">
        <w:rPr>
          <w:rFonts w:ascii="Times New Roman" w:hAnsi="Times New Roman" w:cs="Times New Roman"/>
          <w:b/>
          <w:bCs/>
        </w:rPr>
        <w:t xml:space="preserve">The Limits to Freedom of Contract: </w:t>
      </w:r>
    </w:p>
    <w:p w14:paraId="788A509D" w14:textId="3AD8FA7C" w:rsidR="00F040FE" w:rsidRPr="00DF053B" w:rsidRDefault="00BB7285" w:rsidP="006910BD">
      <w:pPr>
        <w:widowControl w:val="0"/>
        <w:spacing w:line="240" w:lineRule="auto"/>
        <w:ind w:left="0"/>
        <w:jc w:val="center"/>
        <w:rPr>
          <w:rFonts w:ascii="Times New Roman" w:hAnsi="Times New Roman" w:cs="Times New Roman"/>
          <w:b/>
          <w:bCs/>
        </w:rPr>
      </w:pPr>
      <w:r w:rsidRPr="00DF053B">
        <w:rPr>
          <w:rFonts w:ascii="Times New Roman" w:hAnsi="Times New Roman" w:cs="Times New Roman"/>
          <w:b/>
          <w:bCs/>
          <w:i/>
          <w:iCs/>
        </w:rPr>
        <w:t>Leiman, Ricardo and another v Noble Resources Ltd and another</w:t>
      </w:r>
      <w:r w:rsidRPr="00DF053B">
        <w:rPr>
          <w:rFonts w:ascii="Times New Roman" w:hAnsi="Times New Roman" w:cs="Times New Roman"/>
          <w:b/>
          <w:bCs/>
        </w:rPr>
        <w:t xml:space="preserve"> [2020] SGCA 52</w:t>
      </w:r>
    </w:p>
    <w:p w14:paraId="56E2BE9A" w14:textId="77777777" w:rsidR="00F040FE" w:rsidRDefault="00F040FE" w:rsidP="006910BD">
      <w:pPr>
        <w:widowControl w:val="0"/>
        <w:spacing w:line="240" w:lineRule="auto"/>
      </w:pPr>
    </w:p>
    <w:p w14:paraId="0DE83E0D" w14:textId="16BEFF1A" w:rsidR="00BD4181" w:rsidRDefault="00BD4181" w:rsidP="006910BD">
      <w:pPr>
        <w:pStyle w:val="Heading1"/>
        <w:widowControl w:val="0"/>
        <w:spacing w:line="240" w:lineRule="auto"/>
      </w:pPr>
      <w:r>
        <w:t>Executive Summary</w:t>
      </w:r>
    </w:p>
    <w:p w14:paraId="0A780C9C" w14:textId="01299F70" w:rsidR="00335313" w:rsidRDefault="00BD4181" w:rsidP="00E837EF">
      <w:pPr>
        <w:pStyle w:val="Heading4"/>
      </w:pPr>
      <w:r>
        <w:t xml:space="preserve">In line with the principle of freedom to contract, the courts </w:t>
      </w:r>
      <w:r w:rsidR="001A0674">
        <w:t>will</w:t>
      </w:r>
      <w:r>
        <w:t xml:space="preserve"> give effect to the intention of</w:t>
      </w:r>
      <w:r w:rsidR="001A0674">
        <w:t xml:space="preserve"> the</w:t>
      </w:r>
      <w:r>
        <w:t xml:space="preserve"> parties</w:t>
      </w:r>
      <w:r w:rsidR="001A0674">
        <w:t xml:space="preserve"> in </w:t>
      </w:r>
      <w:r w:rsidR="005705CC">
        <w:t xml:space="preserve">creating their contract, and </w:t>
      </w:r>
      <w:r w:rsidR="00C76A97">
        <w:t xml:space="preserve">also </w:t>
      </w:r>
      <w:r w:rsidR="005705CC">
        <w:t>hold them to their duty to perform their primary obligations under such contract</w:t>
      </w:r>
      <w:r>
        <w:t>.</w:t>
      </w:r>
      <w:r w:rsidR="00FE0C64">
        <w:t xml:space="preserve"> </w:t>
      </w:r>
      <w:r w:rsidR="007B6473">
        <w:t>However, where</w:t>
      </w:r>
      <w:r w:rsidR="00FE0C64">
        <w:t xml:space="preserve"> </w:t>
      </w:r>
      <w:r w:rsidR="00B15F00">
        <w:t xml:space="preserve">the contracting </w:t>
      </w:r>
      <w:r w:rsidR="00FE0C64">
        <w:t xml:space="preserve">parties </w:t>
      </w:r>
      <w:r w:rsidR="00111048">
        <w:t xml:space="preserve">agree </w:t>
      </w:r>
      <w:r w:rsidR="00FE0C64">
        <w:t xml:space="preserve">to vest certain decision-making powers to </w:t>
      </w:r>
      <w:r w:rsidR="00612476">
        <w:t>a specific (non-judicial) entity</w:t>
      </w:r>
      <w:r w:rsidR="00FE0C64">
        <w:t xml:space="preserve">, </w:t>
      </w:r>
      <w:r w:rsidR="00D76119">
        <w:t xml:space="preserve">to what extent may a court review the exercise of powers by such entity? </w:t>
      </w:r>
    </w:p>
    <w:p w14:paraId="1E463EDC" w14:textId="77777777" w:rsidR="00335313" w:rsidRDefault="00335313" w:rsidP="00E837EF">
      <w:pPr>
        <w:pStyle w:val="Heading4"/>
      </w:pPr>
    </w:p>
    <w:p w14:paraId="7D0A9562" w14:textId="61A67888" w:rsidR="008002CD" w:rsidRDefault="00D248FB" w:rsidP="00E837EF">
      <w:pPr>
        <w:pStyle w:val="Heading4"/>
      </w:pPr>
      <w:r>
        <w:t xml:space="preserve">In addition, </w:t>
      </w:r>
      <w:r w:rsidR="00335313">
        <w:t>t</w:t>
      </w:r>
      <w:r w:rsidR="00335313" w:rsidRPr="00335313">
        <w:t xml:space="preserve">he corollary </w:t>
      </w:r>
      <w:r w:rsidR="003D3156">
        <w:t>to</w:t>
      </w:r>
      <w:r w:rsidR="00335313" w:rsidRPr="00335313">
        <w:t xml:space="preserve"> recognising the parties’ freedom of contract is that the law also allows them the freedom to change their mind and break their contractual </w:t>
      </w:r>
      <w:r w:rsidR="00A42B06">
        <w:t xml:space="preserve">agreements </w:t>
      </w:r>
      <w:r w:rsidR="00335313" w:rsidRPr="00335313">
        <w:t>if they so wish, albeit at a price.</w:t>
      </w:r>
      <w:r w:rsidR="00335313">
        <w:t xml:space="preserve"> </w:t>
      </w:r>
      <w:r w:rsidR="009409AB">
        <w:t>However,</w:t>
      </w:r>
      <w:r w:rsidR="00643E50">
        <w:t xml:space="preserve"> at </w:t>
      </w:r>
      <w:r w:rsidR="008002CD">
        <w:t xml:space="preserve">what point can </w:t>
      </w:r>
      <w:r w:rsidR="00C6507B">
        <w:t>such</w:t>
      </w:r>
      <w:r w:rsidR="008002CD">
        <w:t xml:space="preserve"> price be considered a penalty</w:t>
      </w:r>
      <w:r w:rsidR="00F7209A">
        <w:t xml:space="preserve"> imposed by the non-breaching party</w:t>
      </w:r>
      <w:r w:rsidR="008002CD">
        <w:t xml:space="preserve">, and hence </w:t>
      </w:r>
      <w:r w:rsidR="00D52FCF">
        <w:t xml:space="preserve">not </w:t>
      </w:r>
      <w:r w:rsidR="008002CD">
        <w:t>enforceable</w:t>
      </w:r>
      <w:r w:rsidR="00934407">
        <w:t xml:space="preserve"> under the law</w:t>
      </w:r>
      <w:r w:rsidR="008002CD">
        <w:t>?</w:t>
      </w:r>
    </w:p>
    <w:p w14:paraId="13954ACF" w14:textId="77777777" w:rsidR="0090222C" w:rsidRDefault="0090222C" w:rsidP="00E837EF">
      <w:pPr>
        <w:pStyle w:val="Heading4"/>
      </w:pPr>
    </w:p>
    <w:p w14:paraId="4AE6EA6C" w14:textId="70E3B81C" w:rsidR="00AD3E6A" w:rsidRDefault="008D7875" w:rsidP="00E837EF">
      <w:pPr>
        <w:pStyle w:val="Heading4"/>
      </w:pPr>
      <w:r>
        <w:t xml:space="preserve">These </w:t>
      </w:r>
      <w:r w:rsidR="00EE5B89">
        <w:t xml:space="preserve">questions </w:t>
      </w:r>
      <w:r>
        <w:t xml:space="preserve">were dealt with by the </w:t>
      </w:r>
      <w:r w:rsidR="00BA57F4">
        <w:t>Court of Appeal (“</w:t>
      </w:r>
      <w:r w:rsidR="00BA57F4" w:rsidRPr="00A94A54">
        <w:rPr>
          <w:b/>
          <w:bCs/>
        </w:rPr>
        <w:t>CA</w:t>
      </w:r>
      <w:r w:rsidR="00BA57F4">
        <w:t xml:space="preserve">”) </w:t>
      </w:r>
      <w:r>
        <w:t xml:space="preserve">in </w:t>
      </w:r>
      <w:r w:rsidR="00AD07C5" w:rsidRPr="00AD07C5">
        <w:rPr>
          <w:i/>
          <w:iCs/>
        </w:rPr>
        <w:t xml:space="preserve">Leiman, Ricardo and another v Noble Resources Ltd and another </w:t>
      </w:r>
      <w:r w:rsidR="00AD07C5" w:rsidRPr="00AD07C5">
        <w:t>[2020] SGCA 52</w:t>
      </w:r>
      <w:r w:rsidR="003B4561">
        <w:t>.</w:t>
      </w:r>
      <w:r w:rsidR="00AD07C5">
        <w:t xml:space="preserve"> </w:t>
      </w:r>
      <w:r w:rsidR="00264BE4" w:rsidRPr="00264BE4">
        <w:t>Ricardo Leiman</w:t>
      </w:r>
      <w:r w:rsidR="0005648D">
        <w:t xml:space="preserve"> (“</w:t>
      </w:r>
      <w:r w:rsidR="0005648D">
        <w:rPr>
          <w:b/>
          <w:bCs/>
        </w:rPr>
        <w:t>Leiman</w:t>
      </w:r>
      <w:r w:rsidR="0005648D">
        <w:t>”)</w:t>
      </w:r>
      <w:r w:rsidR="00264BE4">
        <w:t>,</w:t>
      </w:r>
      <w:r w:rsidR="00264BE4" w:rsidRPr="00264BE4">
        <w:t xml:space="preserve"> former chief </w:t>
      </w:r>
      <w:r w:rsidR="00175865">
        <w:t>executive officer of</w:t>
      </w:r>
      <w:r w:rsidR="00175865" w:rsidRPr="00175865">
        <w:t xml:space="preserve"> </w:t>
      </w:r>
      <w:r w:rsidR="00175865">
        <w:t>Noble Group Ltd (“</w:t>
      </w:r>
      <w:r w:rsidR="00175865" w:rsidRPr="005E7864">
        <w:rPr>
          <w:b/>
          <w:bCs/>
        </w:rPr>
        <w:t>NGL</w:t>
      </w:r>
      <w:r w:rsidR="00175865">
        <w:t>”)</w:t>
      </w:r>
      <w:r w:rsidR="00804C54">
        <w:t xml:space="preserve">, filed suit against </w:t>
      </w:r>
      <w:r w:rsidR="00081F0B" w:rsidRPr="00081F0B">
        <w:t>Noble Resources Ltd (“</w:t>
      </w:r>
      <w:r w:rsidR="00081F0B" w:rsidRPr="00A94A54">
        <w:rPr>
          <w:b/>
          <w:bCs/>
        </w:rPr>
        <w:t>NRL</w:t>
      </w:r>
      <w:r w:rsidR="00081F0B" w:rsidRPr="00081F0B">
        <w:t>”)</w:t>
      </w:r>
      <w:r w:rsidR="00081F0B">
        <w:t xml:space="preserve"> and its parent company NG</w:t>
      </w:r>
      <w:r w:rsidR="0005648D">
        <w:t xml:space="preserve">L, </w:t>
      </w:r>
      <w:r w:rsidR="000D727A">
        <w:t xml:space="preserve">for denying him certain </w:t>
      </w:r>
      <w:r w:rsidR="000D727A" w:rsidRPr="000D727A">
        <w:t>post-resignation entitlements under an agreement that he entered into with NRL to deal with the terms of his departure from the Noble group of companies (“</w:t>
      </w:r>
      <w:r w:rsidR="000D727A" w:rsidRPr="00A94A54">
        <w:rPr>
          <w:b/>
          <w:bCs/>
        </w:rPr>
        <w:t>Noble</w:t>
      </w:r>
      <w:r w:rsidR="000D727A" w:rsidRPr="000D727A">
        <w:t>”)</w:t>
      </w:r>
      <w:r w:rsidR="00A1520A">
        <w:t>.</w:t>
      </w:r>
      <w:r w:rsidR="006C3755">
        <w:t xml:space="preserve"> </w:t>
      </w:r>
      <w:r w:rsidR="001E56DF">
        <w:t xml:space="preserve">These entitlements concerned </w:t>
      </w:r>
      <w:r w:rsidR="006D4A8E">
        <w:t>certain</w:t>
      </w:r>
      <w:r w:rsidR="001E56DF">
        <w:t xml:space="preserve"> share options that had vested</w:t>
      </w:r>
      <w:r w:rsidR="006D4A8E">
        <w:t xml:space="preserve"> or</w:t>
      </w:r>
      <w:r w:rsidR="001E56DF">
        <w:t xml:space="preserve"> were due to vest in him</w:t>
      </w:r>
      <w:r w:rsidR="00425E92">
        <w:t>;</w:t>
      </w:r>
      <w:r w:rsidR="001E56DF">
        <w:t xml:space="preserve"> shares which had been assigned to him</w:t>
      </w:r>
      <w:r w:rsidR="006D4A8E">
        <w:t xml:space="preserve"> or</w:t>
      </w:r>
      <w:r w:rsidR="001E56DF">
        <w:t xml:space="preserve"> whose allotment was pending shareholder approval</w:t>
      </w:r>
      <w:r w:rsidR="00425E92">
        <w:t>;</w:t>
      </w:r>
      <w:r w:rsidR="00721C14">
        <w:t xml:space="preserve"> and </w:t>
      </w:r>
      <w:r w:rsidR="00565727">
        <w:t>a b</w:t>
      </w:r>
      <w:r w:rsidR="00721C14">
        <w:t>onus</w:t>
      </w:r>
      <w:r w:rsidR="00565727">
        <w:t xml:space="preserve"> </w:t>
      </w:r>
      <w:r w:rsidR="00E64E59">
        <w:t xml:space="preserve">for </w:t>
      </w:r>
      <w:r w:rsidR="00565727">
        <w:t>2011</w:t>
      </w:r>
      <w:r w:rsidR="00721C14">
        <w:t>.</w:t>
      </w:r>
    </w:p>
    <w:p w14:paraId="6FF51CDF" w14:textId="77777777" w:rsidR="0072614E" w:rsidRPr="00BD4181" w:rsidRDefault="0072614E" w:rsidP="00E837EF">
      <w:pPr>
        <w:pStyle w:val="Heading4"/>
      </w:pPr>
    </w:p>
    <w:p w14:paraId="2A19B79D" w14:textId="4E2C2084" w:rsidR="007B5210" w:rsidRPr="008C4038" w:rsidRDefault="007B5210" w:rsidP="006910BD">
      <w:pPr>
        <w:pStyle w:val="Heading1"/>
        <w:widowControl w:val="0"/>
        <w:spacing w:line="240" w:lineRule="auto"/>
        <w:rPr>
          <w:lang w:val="en-US"/>
        </w:rPr>
      </w:pPr>
      <w:r w:rsidRPr="008C4038">
        <w:rPr>
          <w:lang w:val="en-US"/>
        </w:rPr>
        <w:t>Material facts</w:t>
      </w:r>
    </w:p>
    <w:p w14:paraId="086F2F34" w14:textId="1DB0DD4D" w:rsidR="007B5210" w:rsidRDefault="00B87B20" w:rsidP="00E837EF">
      <w:pPr>
        <w:pStyle w:val="Heading4"/>
      </w:pPr>
      <w:r w:rsidRPr="008C4038">
        <w:t xml:space="preserve">Leiman </w:t>
      </w:r>
      <w:r w:rsidR="00DF45B1">
        <w:t xml:space="preserve">began his employment with Noble in 2006. </w:t>
      </w:r>
      <w:r w:rsidR="006D4F2F">
        <w:t>The terms of his employment were set out in an employment agreement (“</w:t>
      </w:r>
      <w:r w:rsidR="006D4F2F" w:rsidRPr="00155AC2">
        <w:rPr>
          <w:b/>
          <w:bCs/>
        </w:rPr>
        <w:t>Employment Agreement</w:t>
      </w:r>
      <w:r w:rsidR="006D4F2F">
        <w:t xml:space="preserve">”). </w:t>
      </w:r>
      <w:r w:rsidR="007B7B8D">
        <w:t xml:space="preserve">As part of his compensation, he </w:t>
      </w:r>
      <w:r w:rsidRPr="008C4038">
        <w:t xml:space="preserve">was awarded NGL share options </w:t>
      </w:r>
      <w:r w:rsidR="00EA68F5">
        <w:t xml:space="preserve">pursuant to the Noble Group Share Option Scheme 2004, NGL </w:t>
      </w:r>
      <w:r w:rsidRPr="008C4038">
        <w:t>shares</w:t>
      </w:r>
      <w:r w:rsidR="00EA68F5">
        <w:t xml:space="preserve"> pursuant to Noble’s Annual Incentive Plan (“</w:t>
      </w:r>
      <w:r w:rsidR="00EA68F5" w:rsidRPr="00EA68F5">
        <w:rPr>
          <w:b/>
          <w:bCs/>
        </w:rPr>
        <w:t>AIP</w:t>
      </w:r>
      <w:r w:rsidR="00EA68F5">
        <w:t>”)</w:t>
      </w:r>
      <w:r w:rsidR="007B7B8D">
        <w:t>,</w:t>
      </w:r>
      <w:r w:rsidRPr="008C4038">
        <w:t xml:space="preserve"> </w:t>
      </w:r>
      <w:r w:rsidR="00703B22">
        <w:t>as well as</w:t>
      </w:r>
      <w:r w:rsidRPr="008C4038">
        <w:t xml:space="preserve"> discretionary annual bonuses</w:t>
      </w:r>
      <w:r w:rsidR="007B7B8D">
        <w:t>.</w:t>
      </w:r>
      <w:r w:rsidRPr="008C4038">
        <w:t xml:space="preserve"> He assigned his shares and share options to the Adelaide Trust, a trust that he established. This trust is administered by Rothschild Trust, the second appellant, as trustee. </w:t>
      </w:r>
    </w:p>
    <w:p w14:paraId="2723A57E" w14:textId="77777777" w:rsidR="00AD3E6A" w:rsidRDefault="00AD3E6A" w:rsidP="00E837EF">
      <w:pPr>
        <w:pStyle w:val="Heading4"/>
      </w:pPr>
    </w:p>
    <w:p w14:paraId="5F26772F" w14:textId="6BF52E25" w:rsidR="00293003" w:rsidRPr="00C8743B" w:rsidRDefault="008D7875" w:rsidP="00E837EF">
      <w:pPr>
        <w:pStyle w:val="Heading4"/>
      </w:pPr>
      <w:r>
        <w:t>In</w:t>
      </w:r>
      <w:r w:rsidR="00B87B20" w:rsidRPr="008C4038">
        <w:t xml:space="preserve"> 2011, Leiman </w:t>
      </w:r>
      <w:r w:rsidR="00CB13BB">
        <w:t>and</w:t>
      </w:r>
      <w:r w:rsidR="009E0710">
        <w:t xml:space="preserve"> the Chairman of NGL</w:t>
      </w:r>
      <w:r w:rsidR="000662D9">
        <w:t>,</w:t>
      </w:r>
      <w:r w:rsidR="009E0710">
        <w:t xml:space="preserve"> Mr Richard Samuel Elman (“</w:t>
      </w:r>
      <w:r w:rsidR="009E0710" w:rsidRPr="00CB13BB">
        <w:rPr>
          <w:b/>
          <w:bCs/>
        </w:rPr>
        <w:t>Elman</w:t>
      </w:r>
      <w:r w:rsidR="009E0710">
        <w:t>”)</w:t>
      </w:r>
      <w:r w:rsidR="000662D9">
        <w:t>,</w:t>
      </w:r>
      <w:r w:rsidR="00CB13BB">
        <w:t xml:space="preserve"> got into some disagreements</w:t>
      </w:r>
      <w:r w:rsidR="00B87B20" w:rsidRPr="008C4038">
        <w:t xml:space="preserve">, leading the parties to start planning for Leiman’s exit from Noble in late </w:t>
      </w:r>
      <w:r w:rsidR="00FB317D" w:rsidRPr="008C4038">
        <w:t>2011.</w:t>
      </w:r>
      <w:r w:rsidR="00CB13BB">
        <w:t xml:space="preserve"> </w:t>
      </w:r>
      <w:r w:rsidR="00425E92">
        <w:t>T</w:t>
      </w:r>
      <w:r w:rsidR="00470436">
        <w:t>he parties signed a separation agreement</w:t>
      </w:r>
      <w:r w:rsidR="00AB16CA">
        <w:t xml:space="preserve"> </w:t>
      </w:r>
      <w:r w:rsidR="00470436">
        <w:t>(</w:t>
      </w:r>
      <w:r w:rsidR="001924D0">
        <w:t>“</w:t>
      </w:r>
      <w:r w:rsidR="00A23120" w:rsidRPr="00C8743B">
        <w:rPr>
          <w:b/>
          <w:bCs/>
        </w:rPr>
        <w:t>S</w:t>
      </w:r>
      <w:r w:rsidR="00FB317D" w:rsidRPr="00C8743B">
        <w:rPr>
          <w:b/>
          <w:bCs/>
        </w:rPr>
        <w:t xml:space="preserve">ettlement </w:t>
      </w:r>
      <w:r w:rsidR="00A23120" w:rsidRPr="00C8743B">
        <w:rPr>
          <w:b/>
          <w:bCs/>
        </w:rPr>
        <w:t>A</w:t>
      </w:r>
      <w:r w:rsidR="00FB317D" w:rsidRPr="00C8743B">
        <w:rPr>
          <w:b/>
          <w:bCs/>
        </w:rPr>
        <w:t>greement</w:t>
      </w:r>
      <w:r w:rsidR="00470436">
        <w:t>”) in November 2011</w:t>
      </w:r>
      <w:r w:rsidR="00425E92">
        <w:t>, which</w:t>
      </w:r>
      <w:r w:rsidR="00470436">
        <w:t xml:space="preserve"> </w:t>
      </w:r>
      <w:r w:rsidR="000462D9">
        <w:t>set out the terms on which Leiman was to resign from NRL</w:t>
      </w:r>
      <w:r w:rsidR="00EA041B">
        <w:t>. This</w:t>
      </w:r>
      <w:r w:rsidR="00295739">
        <w:t xml:space="preserve"> includ</w:t>
      </w:r>
      <w:r w:rsidR="00EA041B">
        <w:t>ed</w:t>
      </w:r>
      <w:r w:rsidR="00295739">
        <w:t xml:space="preserve"> </w:t>
      </w:r>
      <w:r w:rsidR="00A23120">
        <w:t>ensur</w:t>
      </w:r>
      <w:r w:rsidR="00295739">
        <w:t xml:space="preserve">ing </w:t>
      </w:r>
      <w:r w:rsidR="00A23120">
        <w:t xml:space="preserve">that Leiman would preserve his entitlements </w:t>
      </w:r>
      <w:r w:rsidR="000F50BE">
        <w:t>to certain</w:t>
      </w:r>
      <w:r w:rsidR="0008706C">
        <w:t xml:space="preserve"> shares and share options that had been awarded to Leiman over the past few years</w:t>
      </w:r>
      <w:r w:rsidR="00FB317D" w:rsidRPr="008C4038">
        <w:t xml:space="preserve">. </w:t>
      </w:r>
      <w:r w:rsidR="00365554">
        <w:t>Specifically</w:t>
      </w:r>
      <w:r w:rsidR="00084B83">
        <w:t>,</w:t>
      </w:r>
    </w:p>
    <w:p w14:paraId="2F439F28" w14:textId="65E508FB" w:rsidR="00915CE5" w:rsidRDefault="00A23120" w:rsidP="006910BD">
      <w:pPr>
        <w:pStyle w:val="ListParagraph"/>
        <w:widowControl w:val="0"/>
        <w:numPr>
          <w:ilvl w:val="0"/>
          <w:numId w:val="18"/>
        </w:numPr>
        <w:spacing w:line="240" w:lineRule="auto"/>
        <w:jc w:val="both"/>
        <w:rPr>
          <w:rFonts w:ascii="Times New Roman" w:hAnsi="Times New Roman" w:cs="Times New Roman"/>
        </w:rPr>
      </w:pPr>
      <w:r w:rsidRPr="0090107C">
        <w:rPr>
          <w:rFonts w:ascii="Times New Roman" w:hAnsi="Times New Roman" w:cs="Times New Roman"/>
          <w:u w:val="single"/>
        </w:rPr>
        <w:t>Clause</w:t>
      </w:r>
      <w:r w:rsidR="00D32F5E" w:rsidRPr="0090107C">
        <w:rPr>
          <w:rFonts w:ascii="Times New Roman" w:hAnsi="Times New Roman" w:cs="Times New Roman"/>
          <w:u w:val="single"/>
        </w:rPr>
        <w:t xml:space="preserve"> 3(a)</w:t>
      </w:r>
      <w:r w:rsidRPr="00C8743B">
        <w:rPr>
          <w:rFonts w:ascii="Times New Roman" w:hAnsi="Times New Roman" w:cs="Times New Roman"/>
        </w:rPr>
        <w:t xml:space="preserve"> </w:t>
      </w:r>
      <w:r w:rsidR="00C50B4F">
        <w:rPr>
          <w:rFonts w:ascii="Times New Roman" w:hAnsi="Times New Roman" w:cs="Times New Roman"/>
        </w:rPr>
        <w:t>stated</w:t>
      </w:r>
      <w:r w:rsidR="00084B83">
        <w:rPr>
          <w:rFonts w:ascii="Times New Roman" w:hAnsi="Times New Roman" w:cs="Times New Roman"/>
        </w:rPr>
        <w:t xml:space="preserve"> </w:t>
      </w:r>
      <w:r w:rsidR="000662D9">
        <w:rPr>
          <w:rFonts w:ascii="Times New Roman" w:hAnsi="Times New Roman" w:cs="Times New Roman"/>
        </w:rPr>
        <w:t xml:space="preserve">that </w:t>
      </w:r>
      <w:r w:rsidR="00D32F5E" w:rsidRPr="00C8743B">
        <w:rPr>
          <w:rFonts w:ascii="Times New Roman" w:hAnsi="Times New Roman" w:cs="Times New Roman"/>
        </w:rPr>
        <w:t xml:space="preserve">Leiman </w:t>
      </w:r>
      <w:r w:rsidR="00915CE5" w:rsidRPr="00C8743B">
        <w:rPr>
          <w:rFonts w:ascii="Times New Roman" w:hAnsi="Times New Roman" w:cs="Times New Roman"/>
        </w:rPr>
        <w:t xml:space="preserve">was entitled to receive the payments and benefits </w:t>
      </w:r>
      <w:r w:rsidR="00BE3201">
        <w:rPr>
          <w:rFonts w:ascii="Times New Roman" w:hAnsi="Times New Roman" w:cs="Times New Roman"/>
        </w:rPr>
        <w:t xml:space="preserve">as stipulated in the </w:t>
      </w:r>
      <w:r w:rsidR="004E1113">
        <w:rPr>
          <w:rFonts w:ascii="Times New Roman" w:hAnsi="Times New Roman" w:cs="Times New Roman"/>
        </w:rPr>
        <w:t xml:space="preserve">Settlement </w:t>
      </w:r>
      <w:r w:rsidR="00BE3201">
        <w:rPr>
          <w:rFonts w:ascii="Times New Roman" w:hAnsi="Times New Roman" w:cs="Times New Roman"/>
        </w:rPr>
        <w:t>Agreement,</w:t>
      </w:r>
      <w:r w:rsidR="00915CE5" w:rsidRPr="00C8743B">
        <w:rPr>
          <w:rFonts w:ascii="Times New Roman" w:hAnsi="Times New Roman" w:cs="Times New Roman"/>
        </w:rPr>
        <w:t xml:space="preserve"> but only if he complied with his non-competition and confidentiality obligations under the Employment Agreement and the Settlement Agreement</w:t>
      </w:r>
      <w:r w:rsidR="00152C9E">
        <w:rPr>
          <w:rFonts w:ascii="Times New Roman" w:hAnsi="Times New Roman" w:cs="Times New Roman"/>
        </w:rPr>
        <w:t>;</w:t>
      </w:r>
    </w:p>
    <w:p w14:paraId="5E8ECD16" w14:textId="7899290C" w:rsidR="00152C9E" w:rsidRPr="00C8743B" w:rsidRDefault="00152C9E" w:rsidP="006910BD">
      <w:pPr>
        <w:pStyle w:val="ListParagraph"/>
        <w:widowControl w:val="0"/>
        <w:numPr>
          <w:ilvl w:val="0"/>
          <w:numId w:val="18"/>
        </w:numPr>
        <w:spacing w:line="240" w:lineRule="auto"/>
        <w:jc w:val="both"/>
        <w:rPr>
          <w:rFonts w:ascii="Times New Roman" w:hAnsi="Times New Roman" w:cs="Times New Roman"/>
        </w:rPr>
      </w:pPr>
      <w:r w:rsidRPr="0090107C">
        <w:rPr>
          <w:rFonts w:ascii="Times New Roman" w:hAnsi="Times New Roman" w:cs="Times New Roman"/>
          <w:u w:val="single"/>
        </w:rPr>
        <w:t>Clause 3(b)</w:t>
      </w:r>
      <w:r>
        <w:rPr>
          <w:rFonts w:ascii="Times New Roman" w:hAnsi="Times New Roman" w:cs="Times New Roman"/>
        </w:rPr>
        <w:t xml:space="preserve"> required </w:t>
      </w:r>
      <w:r w:rsidRPr="00152C9E">
        <w:rPr>
          <w:rFonts w:ascii="Times New Roman" w:hAnsi="Times New Roman" w:cs="Times New Roman"/>
        </w:rPr>
        <w:t>Leiman</w:t>
      </w:r>
      <w:r>
        <w:rPr>
          <w:rFonts w:ascii="Times New Roman" w:hAnsi="Times New Roman" w:cs="Times New Roman"/>
        </w:rPr>
        <w:t xml:space="preserve"> to </w:t>
      </w:r>
      <w:r w:rsidRPr="00152C9E">
        <w:rPr>
          <w:rFonts w:ascii="Times New Roman" w:hAnsi="Times New Roman" w:cs="Times New Roman"/>
        </w:rPr>
        <w:t xml:space="preserve">enter into an advisory agreement with </w:t>
      </w:r>
      <w:r>
        <w:rPr>
          <w:rFonts w:ascii="Times New Roman" w:hAnsi="Times New Roman" w:cs="Times New Roman"/>
        </w:rPr>
        <w:t>Noble;</w:t>
      </w:r>
    </w:p>
    <w:p w14:paraId="3765FA5B" w14:textId="084D85FC" w:rsidR="00A23120" w:rsidRPr="008A545A" w:rsidRDefault="00A23120" w:rsidP="006910BD">
      <w:pPr>
        <w:pStyle w:val="ListParagraph"/>
        <w:widowControl w:val="0"/>
        <w:numPr>
          <w:ilvl w:val="0"/>
          <w:numId w:val="18"/>
        </w:numPr>
        <w:spacing w:line="240" w:lineRule="auto"/>
        <w:jc w:val="both"/>
        <w:rPr>
          <w:rFonts w:ascii="Times New Roman" w:hAnsi="Times New Roman" w:cs="Times New Roman"/>
        </w:rPr>
      </w:pPr>
      <w:r w:rsidRPr="0090107C">
        <w:rPr>
          <w:rFonts w:ascii="Times New Roman" w:hAnsi="Times New Roman" w:cs="Times New Roman"/>
          <w:u w:val="single"/>
        </w:rPr>
        <w:t xml:space="preserve">Clause </w:t>
      </w:r>
      <w:r w:rsidR="00915CE5" w:rsidRPr="0090107C">
        <w:rPr>
          <w:rFonts w:ascii="Times New Roman" w:hAnsi="Times New Roman" w:cs="Times New Roman"/>
          <w:u w:val="single"/>
        </w:rPr>
        <w:t>3(c)</w:t>
      </w:r>
      <w:r w:rsidRPr="008A545A">
        <w:rPr>
          <w:rFonts w:ascii="Times New Roman" w:hAnsi="Times New Roman" w:cs="Times New Roman"/>
        </w:rPr>
        <w:t xml:space="preserve"> </w:t>
      </w:r>
      <w:r w:rsidR="00C50B4F">
        <w:rPr>
          <w:rFonts w:ascii="Times New Roman" w:hAnsi="Times New Roman" w:cs="Times New Roman"/>
        </w:rPr>
        <w:t>stated</w:t>
      </w:r>
      <w:r w:rsidR="00C50B4F" w:rsidRPr="008A545A">
        <w:rPr>
          <w:rFonts w:ascii="Times New Roman" w:hAnsi="Times New Roman" w:cs="Times New Roman"/>
        </w:rPr>
        <w:t xml:space="preserve"> </w:t>
      </w:r>
      <w:r w:rsidR="000662D9">
        <w:rPr>
          <w:rFonts w:ascii="Times New Roman" w:hAnsi="Times New Roman" w:cs="Times New Roman"/>
        </w:rPr>
        <w:t xml:space="preserve">that </w:t>
      </w:r>
      <w:r w:rsidR="00915CE5" w:rsidRPr="008A545A">
        <w:rPr>
          <w:rFonts w:ascii="Times New Roman" w:hAnsi="Times New Roman" w:cs="Times New Roman"/>
        </w:rPr>
        <w:t xml:space="preserve">Leiman was entitled to </w:t>
      </w:r>
      <w:r w:rsidR="008A545A">
        <w:rPr>
          <w:rFonts w:ascii="Times New Roman" w:hAnsi="Times New Roman" w:cs="Times New Roman"/>
        </w:rPr>
        <w:t xml:space="preserve">exercise </w:t>
      </w:r>
      <w:r w:rsidR="001F5BF8">
        <w:rPr>
          <w:rFonts w:ascii="Times New Roman" w:hAnsi="Times New Roman" w:cs="Times New Roman"/>
        </w:rPr>
        <w:t>his</w:t>
      </w:r>
      <w:r w:rsidR="008A545A">
        <w:rPr>
          <w:rFonts w:ascii="Times New Roman" w:hAnsi="Times New Roman" w:cs="Times New Roman"/>
        </w:rPr>
        <w:t xml:space="preserve"> outstanding </w:t>
      </w:r>
      <w:r w:rsidR="008A545A" w:rsidRPr="008A545A">
        <w:rPr>
          <w:rFonts w:ascii="Times New Roman" w:hAnsi="Times New Roman" w:cs="Times New Roman"/>
        </w:rPr>
        <w:t>7,727,272 NGL share options</w:t>
      </w:r>
      <w:r w:rsidR="001F5BF8">
        <w:rPr>
          <w:rFonts w:ascii="Times New Roman" w:hAnsi="Times New Roman" w:cs="Times New Roman"/>
        </w:rPr>
        <w:t xml:space="preserve"> as well as </w:t>
      </w:r>
      <w:r w:rsidR="00AC5B56">
        <w:rPr>
          <w:rFonts w:ascii="Times New Roman" w:hAnsi="Times New Roman" w:cs="Times New Roman"/>
        </w:rPr>
        <w:t>44,818,182</w:t>
      </w:r>
      <w:r w:rsidR="001F5BF8">
        <w:rPr>
          <w:rFonts w:ascii="Times New Roman" w:hAnsi="Times New Roman" w:cs="Times New Roman"/>
        </w:rPr>
        <w:t xml:space="preserve"> vested but unexercised options</w:t>
      </w:r>
      <w:r w:rsidR="007930EA">
        <w:rPr>
          <w:rFonts w:ascii="Times New Roman" w:hAnsi="Times New Roman" w:cs="Times New Roman"/>
        </w:rPr>
        <w:t xml:space="preserve"> (collectively, the “</w:t>
      </w:r>
      <w:r w:rsidR="007930EA">
        <w:rPr>
          <w:rFonts w:ascii="Times New Roman" w:hAnsi="Times New Roman" w:cs="Times New Roman"/>
          <w:b/>
          <w:bCs/>
        </w:rPr>
        <w:t>Share Options</w:t>
      </w:r>
      <w:r w:rsidR="007930EA">
        <w:rPr>
          <w:rFonts w:ascii="Times New Roman" w:hAnsi="Times New Roman" w:cs="Times New Roman"/>
        </w:rPr>
        <w:t>”)</w:t>
      </w:r>
      <w:r w:rsidR="0002400F">
        <w:rPr>
          <w:rFonts w:ascii="Times New Roman" w:hAnsi="Times New Roman" w:cs="Times New Roman"/>
        </w:rPr>
        <w:t>, provided</w:t>
      </w:r>
      <w:r w:rsidR="008A467D">
        <w:rPr>
          <w:rFonts w:ascii="Times New Roman" w:hAnsi="Times New Roman" w:cs="Times New Roman"/>
        </w:rPr>
        <w:t xml:space="preserve"> </w:t>
      </w:r>
      <w:r w:rsidR="001F5BF8">
        <w:rPr>
          <w:rFonts w:ascii="Times New Roman" w:hAnsi="Times New Roman" w:cs="Times New Roman"/>
        </w:rPr>
        <w:t xml:space="preserve">in part </w:t>
      </w:r>
      <w:r w:rsidR="008A467D">
        <w:rPr>
          <w:rFonts w:ascii="Times New Roman" w:hAnsi="Times New Roman" w:cs="Times New Roman"/>
        </w:rPr>
        <w:t>that “prior to exercise he has not acted … to the detriment of Noble</w:t>
      </w:r>
      <w:r w:rsidR="00C30167">
        <w:rPr>
          <w:rFonts w:ascii="Times New Roman" w:hAnsi="Times New Roman" w:cs="Times New Roman"/>
        </w:rPr>
        <w:t>,”</w:t>
      </w:r>
      <w:r w:rsidR="008A467D">
        <w:rPr>
          <w:rFonts w:ascii="Times New Roman" w:hAnsi="Times New Roman" w:cs="Times New Roman"/>
        </w:rPr>
        <w:t xml:space="preserve"> and the </w:t>
      </w:r>
      <w:r w:rsidR="00251393">
        <w:rPr>
          <w:rFonts w:ascii="Times New Roman" w:hAnsi="Times New Roman" w:cs="Times New Roman"/>
        </w:rPr>
        <w:t>Renumeration and Options Committee (“</w:t>
      </w:r>
      <w:r w:rsidR="008A467D" w:rsidRPr="00E1318A">
        <w:rPr>
          <w:rFonts w:ascii="Times New Roman" w:hAnsi="Times New Roman" w:cs="Times New Roman"/>
          <w:b/>
          <w:bCs/>
        </w:rPr>
        <w:t>R&amp;O Committee</w:t>
      </w:r>
      <w:r w:rsidR="00251393">
        <w:rPr>
          <w:rFonts w:ascii="Times New Roman" w:hAnsi="Times New Roman" w:cs="Times New Roman"/>
        </w:rPr>
        <w:t>”)</w:t>
      </w:r>
      <w:r w:rsidR="00C30167">
        <w:rPr>
          <w:rFonts w:ascii="Times New Roman" w:hAnsi="Times New Roman" w:cs="Times New Roman"/>
        </w:rPr>
        <w:t xml:space="preserve"> </w:t>
      </w:r>
      <w:r w:rsidR="008A467D">
        <w:rPr>
          <w:rFonts w:ascii="Times New Roman" w:hAnsi="Times New Roman" w:cs="Times New Roman"/>
        </w:rPr>
        <w:t xml:space="preserve">of Noble </w:t>
      </w:r>
      <w:r w:rsidR="00C30167">
        <w:rPr>
          <w:rFonts w:ascii="Times New Roman" w:hAnsi="Times New Roman" w:cs="Times New Roman"/>
        </w:rPr>
        <w:t>“</w:t>
      </w:r>
      <w:r w:rsidR="008A467D">
        <w:rPr>
          <w:rFonts w:ascii="Times New Roman" w:hAnsi="Times New Roman" w:cs="Times New Roman"/>
        </w:rPr>
        <w:t>shall make a final determination in the event of any dispute”</w:t>
      </w:r>
      <w:r w:rsidR="00634F33">
        <w:rPr>
          <w:rFonts w:ascii="Times New Roman" w:hAnsi="Times New Roman" w:cs="Times New Roman"/>
        </w:rPr>
        <w:t>;</w:t>
      </w:r>
      <w:r w:rsidR="00DF053B">
        <w:rPr>
          <w:rStyle w:val="FootnoteReference"/>
          <w:rFonts w:ascii="Times New Roman" w:hAnsi="Times New Roman" w:cs="Times New Roman"/>
        </w:rPr>
        <w:footnoteReference w:id="1"/>
      </w:r>
    </w:p>
    <w:p w14:paraId="25BD6621" w14:textId="1E6A5141" w:rsidR="005946E2" w:rsidRPr="00581175" w:rsidRDefault="00A23120" w:rsidP="006910BD">
      <w:pPr>
        <w:pStyle w:val="ListParagraph"/>
        <w:widowControl w:val="0"/>
        <w:numPr>
          <w:ilvl w:val="0"/>
          <w:numId w:val="18"/>
        </w:numPr>
        <w:spacing w:line="240" w:lineRule="auto"/>
        <w:jc w:val="both"/>
        <w:rPr>
          <w:rFonts w:ascii="Times New Roman" w:hAnsi="Times New Roman" w:cs="Times New Roman"/>
        </w:rPr>
      </w:pPr>
      <w:r w:rsidRPr="0090107C">
        <w:rPr>
          <w:rFonts w:ascii="Times New Roman" w:hAnsi="Times New Roman" w:cs="Times New Roman"/>
          <w:u w:val="single"/>
        </w:rPr>
        <w:t>Clause</w:t>
      </w:r>
      <w:r w:rsidR="00915CE5" w:rsidRPr="0090107C">
        <w:rPr>
          <w:rFonts w:ascii="Times New Roman" w:hAnsi="Times New Roman" w:cs="Times New Roman"/>
          <w:u w:val="single"/>
        </w:rPr>
        <w:t xml:space="preserve"> 3(d)</w:t>
      </w:r>
      <w:r w:rsidRPr="008A545A">
        <w:rPr>
          <w:rFonts w:ascii="Times New Roman" w:hAnsi="Times New Roman" w:cs="Times New Roman"/>
        </w:rPr>
        <w:t xml:space="preserve"> provided that</w:t>
      </w:r>
      <w:r w:rsidR="00915CE5" w:rsidRPr="008A545A">
        <w:rPr>
          <w:rFonts w:ascii="Times New Roman" w:hAnsi="Times New Roman" w:cs="Times New Roman"/>
        </w:rPr>
        <w:t xml:space="preserve"> </w:t>
      </w:r>
      <w:r w:rsidR="00513709">
        <w:rPr>
          <w:rFonts w:ascii="Times New Roman" w:hAnsi="Times New Roman" w:cs="Times New Roman"/>
        </w:rPr>
        <w:t>17,276,013 NGL shares</w:t>
      </w:r>
      <w:r w:rsidR="00A478AF">
        <w:rPr>
          <w:rFonts w:ascii="Times New Roman" w:hAnsi="Times New Roman" w:cs="Times New Roman"/>
        </w:rPr>
        <w:t xml:space="preserve"> (the </w:t>
      </w:r>
      <w:r w:rsidR="00091AB7">
        <w:rPr>
          <w:rFonts w:ascii="Times New Roman" w:hAnsi="Times New Roman" w:cs="Times New Roman"/>
        </w:rPr>
        <w:t>“</w:t>
      </w:r>
      <w:r w:rsidR="00A478AF" w:rsidRPr="00A478AF">
        <w:rPr>
          <w:rFonts w:ascii="Times New Roman" w:hAnsi="Times New Roman" w:cs="Times New Roman"/>
          <w:b/>
          <w:bCs/>
        </w:rPr>
        <w:t>Shares</w:t>
      </w:r>
      <w:r w:rsidR="00A478AF">
        <w:rPr>
          <w:rFonts w:ascii="Times New Roman" w:hAnsi="Times New Roman" w:cs="Times New Roman"/>
        </w:rPr>
        <w:t>”)</w:t>
      </w:r>
      <w:r w:rsidR="00915CE5" w:rsidRPr="008A545A">
        <w:rPr>
          <w:rFonts w:ascii="Times New Roman" w:hAnsi="Times New Roman" w:cs="Times New Roman"/>
        </w:rPr>
        <w:t xml:space="preserve"> </w:t>
      </w:r>
      <w:r w:rsidR="00EA68F5">
        <w:rPr>
          <w:rFonts w:ascii="Times New Roman" w:hAnsi="Times New Roman" w:cs="Times New Roman"/>
        </w:rPr>
        <w:t xml:space="preserve">previously </w:t>
      </w:r>
      <w:r w:rsidR="00915CE5" w:rsidRPr="008A545A">
        <w:rPr>
          <w:rFonts w:ascii="Times New Roman" w:hAnsi="Times New Roman" w:cs="Times New Roman"/>
        </w:rPr>
        <w:t>awarded to</w:t>
      </w:r>
      <w:r w:rsidR="008A467D" w:rsidRPr="008A545A">
        <w:rPr>
          <w:rFonts w:ascii="Times New Roman" w:hAnsi="Times New Roman" w:cs="Times New Roman"/>
        </w:rPr>
        <w:t xml:space="preserve"> </w:t>
      </w:r>
      <w:r w:rsidR="00915CE5" w:rsidRPr="008A545A">
        <w:rPr>
          <w:rFonts w:ascii="Times New Roman" w:hAnsi="Times New Roman" w:cs="Times New Roman"/>
        </w:rPr>
        <w:lastRenderedPageBreak/>
        <w:t xml:space="preserve">Leiman under </w:t>
      </w:r>
      <w:r w:rsidR="00513709">
        <w:rPr>
          <w:rFonts w:ascii="Times New Roman" w:hAnsi="Times New Roman" w:cs="Times New Roman"/>
        </w:rPr>
        <w:t>the AIP</w:t>
      </w:r>
      <w:r w:rsidR="00915CE5" w:rsidRPr="008A545A">
        <w:rPr>
          <w:rFonts w:ascii="Times New Roman" w:hAnsi="Times New Roman" w:cs="Times New Roman"/>
        </w:rPr>
        <w:t xml:space="preserve"> would vest in him</w:t>
      </w:r>
      <w:r w:rsidR="00293003">
        <w:rPr>
          <w:rFonts w:ascii="Times New Roman" w:hAnsi="Times New Roman" w:cs="Times New Roman"/>
        </w:rPr>
        <w:t xml:space="preserve"> and be free of trading restrictions</w:t>
      </w:r>
      <w:r w:rsidR="00E1318A">
        <w:rPr>
          <w:rFonts w:ascii="Times New Roman" w:hAnsi="Times New Roman" w:cs="Times New Roman"/>
        </w:rPr>
        <w:t>,</w:t>
      </w:r>
      <w:r w:rsidR="008F7EFB">
        <w:rPr>
          <w:rStyle w:val="FootnoteReference"/>
          <w:rFonts w:ascii="Times New Roman" w:hAnsi="Times New Roman" w:cs="Times New Roman"/>
        </w:rPr>
        <w:footnoteReference w:id="2"/>
      </w:r>
      <w:r w:rsidR="00915CE5" w:rsidRPr="008A545A">
        <w:rPr>
          <w:rFonts w:ascii="Times New Roman" w:hAnsi="Times New Roman" w:cs="Times New Roman"/>
        </w:rPr>
        <w:t xml:space="preserve"> </w:t>
      </w:r>
      <w:r w:rsidR="00165312">
        <w:rPr>
          <w:rFonts w:ascii="Times New Roman" w:hAnsi="Times New Roman" w:cs="Times New Roman"/>
        </w:rPr>
        <w:t xml:space="preserve">also </w:t>
      </w:r>
      <w:r w:rsidR="008A467D">
        <w:rPr>
          <w:rFonts w:ascii="Times New Roman" w:hAnsi="Times New Roman" w:cs="Times New Roman"/>
        </w:rPr>
        <w:t xml:space="preserve">provided that “prior to exercise he has not acted … to the detriment of Noble and the [R&amp;O Committee] </w:t>
      </w:r>
      <w:r w:rsidR="00E1318A">
        <w:rPr>
          <w:rFonts w:ascii="Times New Roman" w:hAnsi="Times New Roman" w:cs="Times New Roman"/>
        </w:rPr>
        <w:t>…</w:t>
      </w:r>
      <w:r w:rsidR="008A467D">
        <w:rPr>
          <w:rFonts w:ascii="Times New Roman" w:hAnsi="Times New Roman" w:cs="Times New Roman"/>
        </w:rPr>
        <w:t>shall make a final determination in the event of any dispute”</w:t>
      </w:r>
      <w:r w:rsidR="00634F33">
        <w:rPr>
          <w:rFonts w:ascii="Times New Roman" w:hAnsi="Times New Roman" w:cs="Times New Roman"/>
        </w:rPr>
        <w:t>; and</w:t>
      </w:r>
    </w:p>
    <w:p w14:paraId="2AF5EB82" w14:textId="2119C7BA" w:rsidR="00293003" w:rsidRPr="00DF053B" w:rsidRDefault="00F829BE" w:rsidP="00DF053B">
      <w:pPr>
        <w:pStyle w:val="ListParagraph"/>
        <w:widowControl w:val="0"/>
        <w:numPr>
          <w:ilvl w:val="0"/>
          <w:numId w:val="18"/>
        </w:numPr>
        <w:spacing w:line="240" w:lineRule="auto"/>
        <w:jc w:val="both"/>
        <w:rPr>
          <w:rFonts w:ascii="Times New Roman" w:hAnsi="Times New Roman" w:cs="Times New Roman"/>
        </w:rPr>
      </w:pPr>
      <w:r w:rsidRPr="0090107C">
        <w:rPr>
          <w:rFonts w:ascii="Times New Roman" w:hAnsi="Times New Roman" w:cs="Times New Roman"/>
          <w:u w:val="single"/>
        </w:rPr>
        <w:t>C</w:t>
      </w:r>
      <w:r w:rsidR="00915CE5" w:rsidRPr="0090107C">
        <w:rPr>
          <w:rFonts w:ascii="Times New Roman" w:hAnsi="Times New Roman" w:cs="Times New Roman"/>
          <w:u w:val="single"/>
        </w:rPr>
        <w:t>l</w:t>
      </w:r>
      <w:r w:rsidR="00EE62FF" w:rsidRPr="0090107C">
        <w:rPr>
          <w:rFonts w:ascii="Times New Roman" w:hAnsi="Times New Roman" w:cs="Times New Roman"/>
          <w:u w:val="single"/>
        </w:rPr>
        <w:t>ause</w:t>
      </w:r>
      <w:r w:rsidR="00915CE5" w:rsidRPr="0090107C">
        <w:rPr>
          <w:rFonts w:ascii="Times New Roman" w:hAnsi="Times New Roman" w:cs="Times New Roman"/>
          <w:u w:val="single"/>
        </w:rPr>
        <w:t xml:space="preserve"> 3(e)</w:t>
      </w:r>
      <w:r>
        <w:rPr>
          <w:rFonts w:ascii="Times New Roman" w:hAnsi="Times New Roman" w:cs="Times New Roman"/>
        </w:rPr>
        <w:t xml:space="preserve"> </w:t>
      </w:r>
      <w:r w:rsidR="001B0F5D">
        <w:rPr>
          <w:rFonts w:ascii="Times New Roman" w:hAnsi="Times New Roman" w:cs="Times New Roman"/>
        </w:rPr>
        <w:t>stated</w:t>
      </w:r>
      <w:r>
        <w:rPr>
          <w:rFonts w:ascii="Times New Roman" w:hAnsi="Times New Roman" w:cs="Times New Roman"/>
        </w:rPr>
        <w:t xml:space="preserve"> </w:t>
      </w:r>
      <w:r w:rsidR="000662D9">
        <w:rPr>
          <w:rFonts w:ascii="Times New Roman" w:hAnsi="Times New Roman" w:cs="Times New Roman"/>
        </w:rPr>
        <w:t xml:space="preserve">that </w:t>
      </w:r>
      <w:r w:rsidR="00915CE5" w:rsidRPr="008A545A">
        <w:rPr>
          <w:rFonts w:ascii="Times New Roman" w:hAnsi="Times New Roman" w:cs="Times New Roman"/>
        </w:rPr>
        <w:t>Leiman was entitled to be considered for a discretionary bonus for 2011.</w:t>
      </w:r>
    </w:p>
    <w:p w14:paraId="6C054E2D" w14:textId="22C3A0BD" w:rsidR="000D7017" w:rsidRDefault="000D7017" w:rsidP="00E837EF">
      <w:pPr>
        <w:pStyle w:val="Heading4"/>
      </w:pPr>
      <w:r>
        <w:t>Not covered under the Settlement Agreement were an additional</w:t>
      </w:r>
      <w:r w:rsidRPr="000D7017">
        <w:t xml:space="preserve"> 5,652,421 shares</w:t>
      </w:r>
      <w:r>
        <w:t xml:space="preserve"> </w:t>
      </w:r>
      <w:r w:rsidR="00F90982">
        <w:t>(“</w:t>
      </w:r>
      <w:r w:rsidR="00F90982" w:rsidRPr="00153090">
        <w:rPr>
          <w:b/>
          <w:bCs/>
        </w:rPr>
        <w:t>Additional Shares</w:t>
      </w:r>
      <w:r w:rsidR="00F90982">
        <w:t xml:space="preserve">”) </w:t>
      </w:r>
      <w:r>
        <w:t>under the AIP</w:t>
      </w:r>
      <w:r w:rsidR="00065A20">
        <w:t>,</w:t>
      </w:r>
      <w:r w:rsidRPr="000D7017">
        <w:t xml:space="preserve"> which were </w:t>
      </w:r>
      <w:r>
        <w:t xml:space="preserve">separately </w:t>
      </w:r>
      <w:r w:rsidRPr="000D7017">
        <w:t xml:space="preserve">awarded </w:t>
      </w:r>
      <w:r>
        <w:t>to Leiman through a letter in May 2011</w:t>
      </w:r>
      <w:r w:rsidRPr="000D7017">
        <w:t>, and whose allotment was pending shareholder approval</w:t>
      </w:r>
      <w:r w:rsidR="00F90982">
        <w:t>.</w:t>
      </w:r>
    </w:p>
    <w:p w14:paraId="1EB1C1FD" w14:textId="77777777" w:rsidR="000D7017" w:rsidRDefault="000D7017" w:rsidP="00E837EF">
      <w:pPr>
        <w:pStyle w:val="Heading4"/>
      </w:pPr>
    </w:p>
    <w:p w14:paraId="4AD065B2" w14:textId="7CC74074" w:rsidR="00F829BE" w:rsidRPr="008C4038" w:rsidRDefault="00A469B2" w:rsidP="00E837EF">
      <w:pPr>
        <w:pStyle w:val="Heading4"/>
      </w:pPr>
      <w:r w:rsidRPr="008C4038">
        <w:t xml:space="preserve">Unbeknownst to Leiman, Noble had hired a private investigator in November 2011 to monitor his activities. The </w:t>
      </w:r>
      <w:r w:rsidR="00667D79">
        <w:t>investigator’s</w:t>
      </w:r>
      <w:r w:rsidR="00667D79" w:rsidRPr="008C4038">
        <w:t xml:space="preserve"> </w:t>
      </w:r>
      <w:r w:rsidRPr="008C4038">
        <w:t>reports revealed that Leiman had met with current and former Noble employees between late 2011 and early 2012.</w:t>
      </w:r>
      <w:r w:rsidR="0090609E" w:rsidRPr="008C4038">
        <w:t xml:space="preserve"> He was also correspond</w:t>
      </w:r>
      <w:r w:rsidR="00D7312C">
        <w:t>ing</w:t>
      </w:r>
      <w:r w:rsidR="0090609E" w:rsidRPr="008C4038">
        <w:t xml:space="preserve"> with the President and CEO of</w:t>
      </w:r>
      <w:r w:rsidR="00FD6E81" w:rsidRPr="008C4038">
        <w:t xml:space="preserve"> </w:t>
      </w:r>
      <w:r w:rsidR="0090609E" w:rsidRPr="008C4038">
        <w:t>Summa Capital</w:t>
      </w:r>
      <w:r w:rsidR="002A4303" w:rsidRPr="008C4038">
        <w:t xml:space="preserve">, </w:t>
      </w:r>
      <w:r w:rsidR="00FD6E81" w:rsidRPr="008C4038">
        <w:t xml:space="preserve">one of Noble’s business and strategic </w:t>
      </w:r>
      <w:r w:rsidR="00506713" w:rsidRPr="008C4038">
        <w:t>partners</w:t>
      </w:r>
      <w:r w:rsidR="00506713">
        <w:t>,</w:t>
      </w:r>
      <w:r w:rsidR="00506713" w:rsidRPr="008C4038">
        <w:t xml:space="preserve"> regarding</w:t>
      </w:r>
      <w:r w:rsidR="00A23120">
        <w:t xml:space="preserve"> enter</w:t>
      </w:r>
      <w:r w:rsidR="00F77570">
        <w:t>ing</w:t>
      </w:r>
      <w:r w:rsidR="00FD6E81" w:rsidRPr="008C4038">
        <w:t xml:space="preserve"> the global commodities trading market.</w:t>
      </w:r>
    </w:p>
    <w:p w14:paraId="6B322231" w14:textId="77777777" w:rsidR="00470F0C" w:rsidRPr="008C4038" w:rsidRDefault="00470F0C" w:rsidP="00E837EF">
      <w:pPr>
        <w:pStyle w:val="Heading4"/>
      </w:pPr>
    </w:p>
    <w:p w14:paraId="7685756D" w14:textId="014B1A32" w:rsidR="00DB0D12" w:rsidRDefault="00AC5B56" w:rsidP="00E837EF">
      <w:pPr>
        <w:pStyle w:val="Heading4"/>
      </w:pPr>
      <w:r>
        <w:t>In</w:t>
      </w:r>
      <w:r w:rsidR="00443DF4" w:rsidRPr="008C4038">
        <w:t xml:space="preserve"> </w:t>
      </w:r>
      <w:r w:rsidR="00C94ED5" w:rsidRPr="008C4038">
        <w:t>February 2012, Noble engaged Wolfe Associates to conduct an investigation into Leiman’s dealing with two individuals (collectively “</w:t>
      </w:r>
      <w:r w:rsidR="00C94ED5" w:rsidRPr="004C331E">
        <w:rPr>
          <w:b/>
          <w:bCs/>
        </w:rPr>
        <w:t>Carlier and Ozeias</w:t>
      </w:r>
      <w:r w:rsidR="00C94ED5" w:rsidRPr="008C4038">
        <w:t>”)</w:t>
      </w:r>
      <w:r w:rsidR="00B22CC1">
        <w:t>.</w:t>
      </w:r>
      <w:r w:rsidR="00C94ED5" w:rsidRPr="008C4038">
        <w:t xml:space="preserve"> Leiman had been involved in hiring</w:t>
      </w:r>
      <w:r w:rsidR="003F6190">
        <w:t xml:space="preserve"> them</w:t>
      </w:r>
      <w:r w:rsidR="00C94ED5" w:rsidRPr="008C4038">
        <w:t xml:space="preserve"> in 2006 to run one of Noble’s sugar mills in Brazil.</w:t>
      </w:r>
      <w:r w:rsidR="003F6190">
        <w:t xml:space="preserve"> </w:t>
      </w:r>
      <w:r w:rsidR="009B1F86">
        <w:t xml:space="preserve">That same month, </w:t>
      </w:r>
      <w:r w:rsidR="00233A13" w:rsidRPr="008C4038">
        <w:t xml:space="preserve">Rothschild Trust </w:t>
      </w:r>
      <w:r w:rsidR="003F6190">
        <w:t>asked</w:t>
      </w:r>
      <w:r w:rsidR="003F6190" w:rsidRPr="008C4038">
        <w:t xml:space="preserve"> </w:t>
      </w:r>
      <w:r w:rsidR="00233A13" w:rsidRPr="008C4038">
        <w:t xml:space="preserve">to exercise </w:t>
      </w:r>
      <w:r w:rsidR="0081315D">
        <w:t xml:space="preserve">certain of </w:t>
      </w:r>
      <w:r w:rsidR="00EE62FF">
        <w:t>L</w:t>
      </w:r>
      <w:r w:rsidR="00233A13" w:rsidRPr="008C4038">
        <w:t xml:space="preserve">eiman’s </w:t>
      </w:r>
      <w:r w:rsidR="007C1936">
        <w:t xml:space="preserve">NGL </w:t>
      </w:r>
      <w:r w:rsidR="00165312">
        <w:t>s</w:t>
      </w:r>
      <w:r w:rsidR="00233A13" w:rsidRPr="008C4038">
        <w:t xml:space="preserve">hare </w:t>
      </w:r>
      <w:r w:rsidR="00165312">
        <w:t>o</w:t>
      </w:r>
      <w:r w:rsidR="00233A13" w:rsidRPr="008C4038">
        <w:t xml:space="preserve">ptions. </w:t>
      </w:r>
      <w:r w:rsidR="009E0420">
        <w:t>T</w:t>
      </w:r>
      <w:r w:rsidR="004B6F33" w:rsidRPr="008C4038">
        <w:t>he R&amp;O Committee</w:t>
      </w:r>
      <w:r w:rsidR="00764935">
        <w:t>, made up of Elman</w:t>
      </w:r>
      <w:r w:rsidR="0057360D">
        <w:t xml:space="preserve"> and two independent directors</w:t>
      </w:r>
      <w:r w:rsidR="00A478AF">
        <w:t xml:space="preserve">, </w:t>
      </w:r>
      <w:r w:rsidR="00EE62FF">
        <w:t>was informed</w:t>
      </w:r>
      <w:r w:rsidR="004B6F33" w:rsidRPr="008C4038">
        <w:t xml:space="preserve"> of the </w:t>
      </w:r>
      <w:r w:rsidR="00DB0D12" w:rsidRPr="008C4038">
        <w:t>request</w:t>
      </w:r>
      <w:r w:rsidR="009E0420">
        <w:t>.</w:t>
      </w:r>
      <w:r w:rsidR="00DB0D12" w:rsidRPr="008C4038">
        <w:t xml:space="preserve"> </w:t>
      </w:r>
      <w:r w:rsidR="00390704">
        <w:t>I</w:t>
      </w:r>
      <w:r w:rsidR="00EE62FF">
        <w:t xml:space="preserve">t </w:t>
      </w:r>
      <w:r w:rsidR="00390704">
        <w:t xml:space="preserve">also </w:t>
      </w:r>
      <w:r w:rsidR="00EE62FF">
        <w:t xml:space="preserve">received </w:t>
      </w:r>
      <w:r w:rsidR="00DB0D12" w:rsidRPr="008C4038">
        <w:t>copies of Leiman’s e-mails to Summa Capital, as well as a report</w:t>
      </w:r>
      <w:r w:rsidR="00233A13" w:rsidRPr="008C4038">
        <w:t xml:space="preserve"> </w:t>
      </w:r>
      <w:r w:rsidR="00F12073">
        <w:t>from</w:t>
      </w:r>
      <w:r w:rsidR="00DB0D12" w:rsidRPr="008C4038">
        <w:t xml:space="preserve"> Wolfe Associates which set out preliminary findings </w:t>
      </w:r>
      <w:r w:rsidR="00B6332B">
        <w:t xml:space="preserve">on </w:t>
      </w:r>
      <w:r w:rsidR="00B6332B" w:rsidRPr="008C4038">
        <w:t xml:space="preserve">allegations </w:t>
      </w:r>
      <w:r w:rsidR="004F391A">
        <w:t xml:space="preserve">against </w:t>
      </w:r>
      <w:r w:rsidR="004F391A" w:rsidRPr="008C4038">
        <w:t>Ca</w:t>
      </w:r>
      <w:r w:rsidR="004F391A">
        <w:t>r</w:t>
      </w:r>
      <w:r w:rsidR="004F391A" w:rsidRPr="008C4038">
        <w:t>lier and Ozeias</w:t>
      </w:r>
      <w:r w:rsidR="004F391A">
        <w:t xml:space="preserve"> </w:t>
      </w:r>
      <w:r w:rsidR="00B6332B">
        <w:t>of fraudulent mismanagement of a Brazilian company</w:t>
      </w:r>
      <w:r w:rsidR="00DB0D12" w:rsidRPr="008C4038">
        <w:t xml:space="preserve">, </w:t>
      </w:r>
      <w:r w:rsidR="00B6332B">
        <w:t>and</w:t>
      </w:r>
      <w:r w:rsidR="00B6332B" w:rsidRPr="008C4038">
        <w:t xml:space="preserve"> Leiman’s involvement in the</w:t>
      </w:r>
      <w:r w:rsidR="00B6332B">
        <w:t>ir</w:t>
      </w:r>
      <w:r w:rsidR="00B6332B" w:rsidRPr="008C4038">
        <w:t xml:space="preserve"> hiring </w:t>
      </w:r>
      <w:r w:rsidR="004F391A">
        <w:t xml:space="preserve">despite </w:t>
      </w:r>
      <w:r w:rsidR="00B6332B">
        <w:t>his knowledge of these allegations</w:t>
      </w:r>
      <w:r w:rsidR="00DB0D12" w:rsidRPr="008C4038">
        <w:t>.</w:t>
      </w:r>
      <w:r w:rsidR="00764935">
        <w:t xml:space="preserve"> </w:t>
      </w:r>
      <w:r w:rsidR="00DB0D12" w:rsidRPr="008C4038">
        <w:t>The R&amp;O Committee</w:t>
      </w:r>
      <w:r w:rsidR="00764935">
        <w:t xml:space="preserve">, which </w:t>
      </w:r>
      <w:r w:rsidR="00DB0D12" w:rsidRPr="008C4038">
        <w:t xml:space="preserve">convened on 1 March 2012, unanimously resolved to refuse approval of the exercise of </w:t>
      </w:r>
      <w:r w:rsidR="00A42B2F">
        <w:t xml:space="preserve">Leiman’s </w:t>
      </w:r>
      <w:r w:rsidR="007D4216">
        <w:t>s</w:t>
      </w:r>
      <w:r w:rsidR="00DB0D12" w:rsidRPr="008C4038">
        <w:t xml:space="preserve">hare </w:t>
      </w:r>
      <w:r w:rsidR="007D4216">
        <w:t>o</w:t>
      </w:r>
      <w:r w:rsidR="00DB0D12" w:rsidRPr="008C4038">
        <w:t xml:space="preserve">ptions. Rothschild Trust protested the decision and asked for details of the information upon which the decision had been based, but </w:t>
      </w:r>
      <w:r w:rsidR="00EE62FF">
        <w:t xml:space="preserve">NGL </w:t>
      </w:r>
      <w:r w:rsidR="00DB0D12" w:rsidRPr="008C4038">
        <w:t>did not provide these details.</w:t>
      </w:r>
    </w:p>
    <w:p w14:paraId="4426FA28" w14:textId="77777777" w:rsidR="00470F0C" w:rsidRPr="008C4038" w:rsidRDefault="00470F0C" w:rsidP="00E837EF">
      <w:pPr>
        <w:pStyle w:val="Heading4"/>
      </w:pPr>
    </w:p>
    <w:p w14:paraId="32F3D4E8" w14:textId="59966692" w:rsidR="004C331E" w:rsidRDefault="00DB0D12" w:rsidP="00E837EF">
      <w:pPr>
        <w:pStyle w:val="Heading4"/>
      </w:pPr>
      <w:r w:rsidRPr="008C4038">
        <w:t>The R&amp;O reconvened on 27 March 2012 and reaffirmed its 1 March 2012 decision</w:t>
      </w:r>
      <w:r w:rsidRPr="00F4147A">
        <w:t xml:space="preserve">. </w:t>
      </w:r>
      <w:r w:rsidR="00F4147A">
        <w:t>NGL’s Group General Counsel</w:t>
      </w:r>
      <w:r w:rsidR="00AE546A">
        <w:t xml:space="preserve"> and a NRL director, who assisted the R&amp;O Committee,</w:t>
      </w:r>
      <w:r w:rsidR="00990568">
        <w:t xml:space="preserve"> </w:t>
      </w:r>
      <w:r w:rsidR="00990568" w:rsidRPr="008C4038">
        <w:t>informed</w:t>
      </w:r>
      <w:r w:rsidR="00C034BD" w:rsidRPr="008C4038">
        <w:t xml:space="preserve"> Rothschild</w:t>
      </w:r>
      <w:r w:rsidRPr="008C4038">
        <w:t xml:space="preserve"> </w:t>
      </w:r>
      <w:r w:rsidR="00C034BD" w:rsidRPr="008C4038">
        <w:t xml:space="preserve">Trust </w:t>
      </w:r>
      <w:r w:rsidRPr="008C4038">
        <w:t xml:space="preserve">that Leiman’s right to exercise the </w:t>
      </w:r>
      <w:r w:rsidR="008276C9">
        <w:t>s</w:t>
      </w:r>
      <w:r w:rsidRPr="008C4038">
        <w:t xml:space="preserve">hare </w:t>
      </w:r>
      <w:r w:rsidR="008276C9">
        <w:t>o</w:t>
      </w:r>
      <w:r w:rsidRPr="008C4038">
        <w:t>ptions was “conditional on [his] not acting in any way to the detriment of Noble prior to exercise”</w:t>
      </w:r>
      <w:r w:rsidR="00C034BD" w:rsidRPr="008C4038">
        <w:t xml:space="preserve">. </w:t>
      </w:r>
      <w:r w:rsidR="001D3FBB">
        <w:t>The R&amp;O Committee considered that t</w:t>
      </w:r>
      <w:r w:rsidR="00C034BD" w:rsidRPr="008C4038">
        <w:t>his</w:t>
      </w:r>
      <w:r w:rsidR="00944F5D">
        <w:t xml:space="preserve"> condition</w:t>
      </w:r>
      <w:r w:rsidR="00C034BD" w:rsidRPr="008C4038">
        <w:t xml:space="preserve"> had not been fulfilled as Leiman had breached his non-competition and confidentiality obligations</w:t>
      </w:r>
      <w:r w:rsidR="001D3FBB">
        <w:t>,</w:t>
      </w:r>
      <w:r w:rsidR="00EE62FF">
        <w:t xml:space="preserve"> </w:t>
      </w:r>
      <w:r w:rsidR="00C034BD" w:rsidRPr="008C4038">
        <w:t xml:space="preserve">and had hired certain persons </w:t>
      </w:r>
      <w:r w:rsidR="00EE62FF">
        <w:t xml:space="preserve">who </w:t>
      </w:r>
      <w:r w:rsidR="00C034BD" w:rsidRPr="008C4038">
        <w:t xml:space="preserve">were not qualified and might have participated in “fraudulent conduct at a previous employer”. Noble </w:t>
      </w:r>
      <w:r w:rsidR="004F391A" w:rsidRPr="008C4038">
        <w:t xml:space="preserve">also </w:t>
      </w:r>
      <w:r w:rsidR="00C034BD" w:rsidRPr="008C4038">
        <w:t xml:space="preserve">subsequently informed </w:t>
      </w:r>
      <w:r w:rsidR="001D3FBB" w:rsidRPr="008C4038">
        <w:t xml:space="preserve">Rothschild Trust </w:t>
      </w:r>
      <w:r w:rsidR="00C45EB6">
        <w:t>that</w:t>
      </w:r>
      <w:r w:rsidR="00C034BD" w:rsidRPr="008C4038">
        <w:t>: (a) Leiman was not entitled to the Shares referred to in cl</w:t>
      </w:r>
      <w:r w:rsidR="00047669">
        <w:t>ause</w:t>
      </w:r>
      <w:r w:rsidR="00C034BD" w:rsidRPr="008C4038">
        <w:t xml:space="preserve"> 3(d) of the Settlement Agreement; (b) the R&amp;O Committee did not approve the vesting of the </w:t>
      </w:r>
      <w:r w:rsidR="000700BA">
        <w:t>Additional S</w:t>
      </w:r>
      <w:r w:rsidR="00C034BD" w:rsidRPr="008C4038">
        <w:t xml:space="preserve">hares; and (c) Leiman was not awarded </w:t>
      </w:r>
      <w:r w:rsidR="00770501">
        <w:t xml:space="preserve">a bonus for 2011 </w:t>
      </w:r>
      <w:r w:rsidR="00770501" w:rsidRPr="008A545A">
        <w:t>(</w:t>
      </w:r>
      <w:r w:rsidR="00770501">
        <w:t xml:space="preserve">the </w:t>
      </w:r>
      <w:r w:rsidR="00770501" w:rsidRPr="008A545A">
        <w:t>“</w:t>
      </w:r>
      <w:r w:rsidR="00770501" w:rsidRPr="00F35BD2">
        <w:rPr>
          <w:b/>
          <w:bCs/>
        </w:rPr>
        <w:t>2011 Bonus</w:t>
      </w:r>
      <w:r w:rsidR="00770501" w:rsidRPr="008A545A">
        <w:t>”)</w:t>
      </w:r>
      <w:r w:rsidR="00C034BD" w:rsidRPr="008C4038">
        <w:t xml:space="preserve">. </w:t>
      </w:r>
    </w:p>
    <w:p w14:paraId="3D23784E" w14:textId="77777777" w:rsidR="004C331E" w:rsidRDefault="004C331E" w:rsidP="00E837EF">
      <w:pPr>
        <w:pStyle w:val="Heading4"/>
      </w:pPr>
    </w:p>
    <w:p w14:paraId="03B3C65C" w14:textId="4D16E3E8" w:rsidR="004C331E" w:rsidRDefault="006B4D3A" w:rsidP="00E837EF">
      <w:pPr>
        <w:pStyle w:val="Heading4"/>
      </w:pPr>
      <w:r>
        <w:t>Leiman</w:t>
      </w:r>
      <w:r w:rsidR="00B30A8B">
        <w:t xml:space="preserve"> and Rothschild</w:t>
      </w:r>
      <w:r>
        <w:t xml:space="preserve"> </w:t>
      </w:r>
      <w:r w:rsidR="00581175">
        <w:t>(“</w:t>
      </w:r>
      <w:r w:rsidR="00581175" w:rsidRPr="00153090">
        <w:rPr>
          <w:b/>
          <w:bCs/>
        </w:rPr>
        <w:t>appellants</w:t>
      </w:r>
      <w:r w:rsidR="00581175">
        <w:t xml:space="preserve">”) </w:t>
      </w:r>
      <w:r w:rsidR="009A5F92">
        <w:t xml:space="preserve">subsequently </w:t>
      </w:r>
      <w:r>
        <w:t>commenced suit against NRL and NGL</w:t>
      </w:r>
      <w:r w:rsidR="00C13BBD">
        <w:t xml:space="preserve"> in the High Court</w:t>
      </w:r>
      <w:r w:rsidR="002A19A6">
        <w:t xml:space="preserve"> (“</w:t>
      </w:r>
      <w:r w:rsidR="002A19A6">
        <w:rPr>
          <w:b/>
          <w:bCs/>
        </w:rPr>
        <w:t>HC</w:t>
      </w:r>
      <w:r w:rsidR="002A19A6">
        <w:t>”)</w:t>
      </w:r>
      <w:r w:rsidR="00712EB2">
        <w:t xml:space="preserve">. They sought, </w:t>
      </w:r>
      <w:r w:rsidR="00C13BBD">
        <w:t>amongst other things, declarations that the R&amp;O Committee’s decisions pertaining to Leiman’s benefits were invalid, and that NRL was in breach of the Settlement Agreement.</w:t>
      </w:r>
      <w:r w:rsidR="007E6E3F">
        <w:t xml:space="preserve"> They also brought claims against NRL and NGL in conspiracy, inducement of breach of contract and unlawful interference.</w:t>
      </w:r>
      <w:r w:rsidR="00990568">
        <w:t xml:space="preserve"> </w:t>
      </w:r>
      <w:r w:rsidR="00C13BBD">
        <w:t xml:space="preserve">The </w:t>
      </w:r>
      <w:r w:rsidR="002A19A6">
        <w:t>HC</w:t>
      </w:r>
      <w:r w:rsidR="00C13BBD">
        <w:t xml:space="preserve"> </w:t>
      </w:r>
      <w:r w:rsidR="007E6E3F">
        <w:t xml:space="preserve">dismissed </w:t>
      </w:r>
      <w:r w:rsidR="00FF259B">
        <w:t xml:space="preserve">the </w:t>
      </w:r>
      <w:r w:rsidR="007E6E3F">
        <w:t>claim</w:t>
      </w:r>
      <w:r w:rsidR="00FF259B">
        <w:t>s</w:t>
      </w:r>
      <w:r w:rsidR="007E6E3F">
        <w:t xml:space="preserve">. </w:t>
      </w:r>
    </w:p>
    <w:p w14:paraId="6E92CEC5" w14:textId="77777777" w:rsidR="00470F0C" w:rsidRPr="008C4038" w:rsidRDefault="00470F0C" w:rsidP="00E837EF">
      <w:pPr>
        <w:pStyle w:val="Heading4"/>
      </w:pPr>
    </w:p>
    <w:p w14:paraId="7CD13F62" w14:textId="2850DA42" w:rsidR="00DF5901" w:rsidRPr="008C4038" w:rsidRDefault="002D6239" w:rsidP="006910BD">
      <w:pPr>
        <w:pStyle w:val="Heading1"/>
        <w:widowControl w:val="0"/>
        <w:spacing w:line="240" w:lineRule="auto"/>
      </w:pPr>
      <w:r w:rsidRPr="008C4038">
        <w:t>Issues</w:t>
      </w:r>
    </w:p>
    <w:p w14:paraId="4BF36FC2" w14:textId="20662FFD" w:rsidR="00EB0A6C" w:rsidRPr="008C4038" w:rsidRDefault="000B7BED" w:rsidP="00E837EF">
      <w:pPr>
        <w:pStyle w:val="Heading4"/>
      </w:pPr>
      <w:r>
        <w:t>On appeal, t</w:t>
      </w:r>
      <w:r w:rsidR="00EB0A6C" w:rsidRPr="008C4038">
        <w:t xml:space="preserve">he CA considered </w:t>
      </w:r>
      <w:r>
        <w:t>the following</w:t>
      </w:r>
      <w:r w:rsidR="00EB0A6C" w:rsidRPr="008C4038">
        <w:t xml:space="preserve"> issues:</w:t>
      </w:r>
    </w:p>
    <w:p w14:paraId="5F0DF3E9" w14:textId="388C8FBA" w:rsidR="00EB0A6C" w:rsidRPr="008C4038" w:rsidRDefault="00EB0A6C" w:rsidP="00E837EF">
      <w:pPr>
        <w:pStyle w:val="Heading4"/>
        <w:numPr>
          <w:ilvl w:val="0"/>
          <w:numId w:val="13"/>
        </w:numPr>
      </w:pPr>
      <w:r w:rsidRPr="008C4038">
        <w:t>the interpretation of cl</w:t>
      </w:r>
      <w:r w:rsidR="006F7EB9">
        <w:t>ause</w:t>
      </w:r>
      <w:r w:rsidRPr="008C4038">
        <w:t xml:space="preserve"> 3 of the Settlement Agreement;</w:t>
      </w:r>
    </w:p>
    <w:p w14:paraId="1ABB30AF" w14:textId="74210202" w:rsidR="00EB0A6C" w:rsidRPr="008C4038" w:rsidRDefault="00EB0A6C" w:rsidP="00E837EF">
      <w:pPr>
        <w:pStyle w:val="Heading4"/>
        <w:numPr>
          <w:ilvl w:val="0"/>
          <w:numId w:val="13"/>
        </w:numPr>
      </w:pPr>
      <w:r w:rsidRPr="008C4038">
        <w:t xml:space="preserve">whether </w:t>
      </w:r>
      <w:r w:rsidR="009C1146">
        <w:t xml:space="preserve">certain clauses under </w:t>
      </w:r>
      <w:r w:rsidRPr="008C4038">
        <w:t>cl</w:t>
      </w:r>
      <w:r w:rsidR="006F7EB9">
        <w:t>ause</w:t>
      </w:r>
      <w:r w:rsidRPr="008C4038">
        <w:t xml:space="preserve"> 3</w:t>
      </w:r>
      <w:r w:rsidR="00925821">
        <w:t xml:space="preserve"> </w:t>
      </w:r>
      <w:r w:rsidR="009C1146">
        <w:t>were void for being penalty clauses</w:t>
      </w:r>
      <w:r w:rsidRPr="008C4038">
        <w:t>;</w:t>
      </w:r>
    </w:p>
    <w:p w14:paraId="3397F78F" w14:textId="2EC0266D" w:rsidR="00EB0A6C" w:rsidRPr="008C4038" w:rsidRDefault="006326F0" w:rsidP="00E837EF">
      <w:pPr>
        <w:pStyle w:val="Heading4"/>
        <w:numPr>
          <w:ilvl w:val="0"/>
          <w:numId w:val="13"/>
        </w:numPr>
      </w:pPr>
      <w:r>
        <w:lastRenderedPageBreak/>
        <w:t>t</w:t>
      </w:r>
      <w:r w:rsidRPr="006326F0">
        <w:t>he validity of the R&amp;O Committee’s decisions under cl</w:t>
      </w:r>
      <w:r w:rsidR="00931D70">
        <w:t>auses</w:t>
      </w:r>
      <w:r w:rsidRPr="006326F0">
        <w:t xml:space="preserve"> 3(c) and 3(d) of the Settlement Agreement</w:t>
      </w:r>
      <w:r w:rsidR="00EB0A6C" w:rsidRPr="008C4038">
        <w:t xml:space="preserve">; </w:t>
      </w:r>
      <w:r w:rsidR="00634F33">
        <w:t>and</w:t>
      </w:r>
    </w:p>
    <w:p w14:paraId="0AEC7022" w14:textId="3F969CE3" w:rsidR="00EB0A6C" w:rsidRPr="008C4038" w:rsidRDefault="00EB0A6C" w:rsidP="00E837EF">
      <w:pPr>
        <w:pStyle w:val="Heading4"/>
        <w:numPr>
          <w:ilvl w:val="0"/>
          <w:numId w:val="13"/>
        </w:numPr>
      </w:pPr>
      <w:r w:rsidRPr="008C4038">
        <w:t>whether Leiman was entitled to the 2011 Bonus</w:t>
      </w:r>
      <w:r w:rsidR="009B77E4">
        <w:t>,</w:t>
      </w:r>
      <w:r w:rsidRPr="008C4038">
        <w:t xml:space="preserve"> and</w:t>
      </w:r>
      <w:r w:rsidR="00DB5EE8">
        <w:t xml:space="preserve"> </w:t>
      </w:r>
      <w:r w:rsidRPr="008C4038">
        <w:t xml:space="preserve">the </w:t>
      </w:r>
      <w:r w:rsidR="001D50ED">
        <w:t>Additional</w:t>
      </w:r>
      <w:r w:rsidRPr="008C4038">
        <w:t xml:space="preserve"> </w:t>
      </w:r>
      <w:r w:rsidR="001D50ED">
        <w:t>S</w:t>
      </w:r>
      <w:r w:rsidRPr="008C4038">
        <w:t>hares</w:t>
      </w:r>
      <w:r w:rsidR="00BE5D41">
        <w:t>.</w:t>
      </w:r>
    </w:p>
    <w:p w14:paraId="40D1CEB3" w14:textId="100D9360" w:rsidR="00EB0A6C" w:rsidRPr="00EE62FF" w:rsidRDefault="00634F33" w:rsidP="00E837EF">
      <w:pPr>
        <w:pStyle w:val="Heading4"/>
      </w:pPr>
      <w:r>
        <w:t xml:space="preserve">The CA also considered </w:t>
      </w:r>
      <w:r w:rsidR="00EB0A6C" w:rsidRPr="008C4038">
        <w:t xml:space="preserve">whether the </w:t>
      </w:r>
      <w:r w:rsidR="0039336F">
        <w:t>HC</w:t>
      </w:r>
      <w:r w:rsidR="0039336F" w:rsidRPr="008C4038">
        <w:t xml:space="preserve"> </w:t>
      </w:r>
      <w:r w:rsidR="00EB0A6C" w:rsidRPr="008C4038">
        <w:t xml:space="preserve">erred in dismissing the </w:t>
      </w:r>
      <w:r w:rsidR="00581175">
        <w:t xml:space="preserve">appellants’ </w:t>
      </w:r>
      <w:r w:rsidR="00EB0A6C" w:rsidRPr="008C4038">
        <w:t>economic tort claims</w:t>
      </w:r>
      <w:r w:rsidR="00BE5D41">
        <w:t xml:space="preserve">, </w:t>
      </w:r>
      <w:r w:rsidR="00EB0A6C" w:rsidRPr="008C4038">
        <w:t>and the remedies that the</w:t>
      </w:r>
      <w:r w:rsidR="00581175">
        <w:t xml:space="preserve">y </w:t>
      </w:r>
      <w:r w:rsidR="00EB0A6C" w:rsidRPr="008C4038">
        <w:t>are entitled to</w:t>
      </w:r>
      <w:r w:rsidR="00581175">
        <w:t xml:space="preserve"> (</w:t>
      </w:r>
      <w:r w:rsidR="00EB0A6C" w:rsidRPr="008C4038">
        <w:t>if any</w:t>
      </w:r>
      <w:r w:rsidR="00581175">
        <w:t>)</w:t>
      </w:r>
      <w:r w:rsidR="00EB0A6C" w:rsidRPr="008C4038">
        <w:t>.</w:t>
      </w:r>
    </w:p>
    <w:p w14:paraId="39C5FC03" w14:textId="77777777" w:rsidR="002D6239" w:rsidRPr="008C4038" w:rsidRDefault="002D6239" w:rsidP="006910BD">
      <w:pPr>
        <w:widowControl w:val="0"/>
        <w:spacing w:line="240" w:lineRule="auto"/>
        <w:rPr>
          <w:rFonts w:ascii="Times New Roman" w:hAnsi="Times New Roman" w:cs="Times New Roman"/>
          <w:lang w:val="en-GB"/>
        </w:rPr>
      </w:pPr>
    </w:p>
    <w:p w14:paraId="0E046EF2" w14:textId="5D5045FF" w:rsidR="00DF5901" w:rsidRPr="008C4038" w:rsidRDefault="002D6239" w:rsidP="006910BD">
      <w:pPr>
        <w:pStyle w:val="Heading2"/>
        <w:widowControl w:val="0"/>
        <w:spacing w:line="240" w:lineRule="auto"/>
      </w:pPr>
      <w:r w:rsidRPr="008C4038">
        <w:t xml:space="preserve">The interpretation of clause 3 </w:t>
      </w:r>
    </w:p>
    <w:p w14:paraId="75B6B1BD" w14:textId="3B461CD9" w:rsidR="00CB2C60" w:rsidRDefault="007B45FF" w:rsidP="00E837EF">
      <w:pPr>
        <w:pStyle w:val="Heading4"/>
      </w:pPr>
      <w:r w:rsidRPr="008C4038">
        <w:t xml:space="preserve">The </w:t>
      </w:r>
      <w:r w:rsidR="00D5119A">
        <w:t>CA</w:t>
      </w:r>
      <w:r w:rsidR="00D5119A" w:rsidRPr="008C4038">
        <w:t xml:space="preserve"> </w:t>
      </w:r>
      <w:r w:rsidRPr="008C4038">
        <w:t xml:space="preserve">first </w:t>
      </w:r>
      <w:r w:rsidR="00774EED">
        <w:t>noted</w:t>
      </w:r>
      <w:r w:rsidR="00303E20">
        <w:t xml:space="preserve"> that</w:t>
      </w:r>
      <w:r w:rsidR="003518FF" w:rsidRPr="008C4038">
        <w:t xml:space="preserve"> </w:t>
      </w:r>
      <w:r w:rsidRPr="008C4038">
        <w:t>the Settlement Agreement was a mutually beneficial arrangement between Leiman and NRL that regulated Leiman’s post-resignation conduct and relationship with Noble. With th</w:t>
      </w:r>
      <w:r w:rsidR="00181F66">
        <w:t>at</w:t>
      </w:r>
      <w:r w:rsidRPr="008C4038">
        <w:t xml:space="preserve"> context in mind, the </w:t>
      </w:r>
      <w:r w:rsidR="00DC2AA1">
        <w:t>CA</w:t>
      </w:r>
      <w:r w:rsidR="00DC2AA1" w:rsidRPr="008C4038">
        <w:t xml:space="preserve"> </w:t>
      </w:r>
      <w:r w:rsidR="00303E20">
        <w:t>noted that clause 3 established a “two-track” regime</w:t>
      </w:r>
      <w:r w:rsidR="002410AF">
        <w:t>.</w:t>
      </w:r>
      <w:r w:rsidR="00055E1D">
        <w:t xml:space="preserve"> </w:t>
      </w:r>
      <w:r w:rsidR="00C6234F">
        <w:t>C</w:t>
      </w:r>
      <w:r w:rsidR="00C6234F" w:rsidRPr="008C4038">
        <w:t xml:space="preserve">lause </w:t>
      </w:r>
      <w:r w:rsidRPr="008C4038">
        <w:t>3(a) encompasse</w:t>
      </w:r>
      <w:r w:rsidR="00401971">
        <w:t>d</w:t>
      </w:r>
      <w:r w:rsidRPr="008C4038">
        <w:t xml:space="preserve"> </w:t>
      </w:r>
      <w:r w:rsidR="00675243">
        <w:t xml:space="preserve">all of </w:t>
      </w:r>
      <w:r w:rsidRPr="008C4038">
        <w:t xml:space="preserve">Leiman’s severance entitlements </w:t>
      </w:r>
      <w:r w:rsidR="00675243">
        <w:t>as contemplated under clauses 3(a) to 3(e)</w:t>
      </w:r>
      <w:r w:rsidR="00584045">
        <w:t>, and conditioned them upon his compliance with his contractual non-competition and confidentiality obligations</w:t>
      </w:r>
      <w:r w:rsidR="003D5A0F">
        <w:t>.</w:t>
      </w:r>
      <w:r w:rsidR="004159DB">
        <w:t xml:space="preserve"> The CA held that </w:t>
      </w:r>
      <w:r w:rsidR="002203A5">
        <w:t xml:space="preserve">the question of whether or not he was in compliance with </w:t>
      </w:r>
      <w:r w:rsidR="00FE19BF">
        <w:t xml:space="preserve">these </w:t>
      </w:r>
      <w:r w:rsidR="002203A5">
        <w:t xml:space="preserve">obligations was a </w:t>
      </w:r>
      <w:r w:rsidR="002203A5">
        <w:rPr>
          <w:i/>
          <w:iCs/>
        </w:rPr>
        <w:t xml:space="preserve">legal </w:t>
      </w:r>
      <w:r w:rsidR="002203A5">
        <w:t xml:space="preserve">question to be determined by the courts. </w:t>
      </w:r>
      <w:r w:rsidR="00FE19BF">
        <w:t xml:space="preserve">On the other hand, clauses </w:t>
      </w:r>
      <w:r w:rsidR="0029165D">
        <w:t xml:space="preserve">3(c) and 3(d) dealt with the entirely separate </w:t>
      </w:r>
      <w:r w:rsidR="0029165D">
        <w:rPr>
          <w:i/>
          <w:iCs/>
        </w:rPr>
        <w:t>commercial</w:t>
      </w:r>
      <w:r w:rsidR="0029165D">
        <w:t xml:space="preserve"> question of whether Leiman had acted to Noble’s commercial detriment, and as such was to be determined by the R&amp;O Committee.</w:t>
      </w:r>
      <w:r w:rsidR="00606765">
        <w:t xml:space="preserve"> </w:t>
      </w:r>
      <w:r w:rsidR="00A3680B">
        <w:t>H</w:t>
      </w:r>
      <w:r w:rsidR="00851E33">
        <w:t>is</w:t>
      </w:r>
      <w:r w:rsidRPr="008C4038">
        <w:t xml:space="preserve"> rights to the Share Options and the Shares</w:t>
      </w:r>
      <w:r w:rsidR="005F2992">
        <w:t>,</w:t>
      </w:r>
      <w:r w:rsidRPr="008C4038">
        <w:t xml:space="preserve"> under clauses 3(c) and 3(d)</w:t>
      </w:r>
      <w:r w:rsidR="00A478AF">
        <w:t xml:space="preserve"> respectively</w:t>
      </w:r>
      <w:r w:rsidR="002F4BAA">
        <w:t>,</w:t>
      </w:r>
      <w:r w:rsidRPr="008C4038">
        <w:t xml:space="preserve"> were subject to the condition in </w:t>
      </w:r>
      <w:r w:rsidR="002218DE">
        <w:t xml:space="preserve">clause </w:t>
      </w:r>
      <w:r w:rsidRPr="008C4038">
        <w:t xml:space="preserve">3(a) that </w:t>
      </w:r>
      <w:r w:rsidR="00606765">
        <w:t>he</w:t>
      </w:r>
      <w:r w:rsidRPr="008C4038">
        <w:t xml:space="preserve"> comply </w:t>
      </w:r>
      <w:r w:rsidR="00CB2C60" w:rsidRPr="008C4038">
        <w:t xml:space="preserve">with his contractual non-competition and confidentiality obligations, as well as the </w:t>
      </w:r>
      <w:r w:rsidR="00CB2C60" w:rsidRPr="008C4038">
        <w:rPr>
          <w:i/>
          <w:iCs/>
        </w:rPr>
        <w:t>additional</w:t>
      </w:r>
      <w:r w:rsidR="00CB2C60" w:rsidRPr="008C4038">
        <w:t xml:space="preserve"> condition in clauses 3(c) and 3(d) that he not act to Noble’s detriment.</w:t>
      </w:r>
      <w:r w:rsidR="00584045">
        <w:t xml:space="preserve"> </w:t>
      </w:r>
      <w:r w:rsidR="00CB2C60" w:rsidRPr="008C4038">
        <w:t xml:space="preserve"> </w:t>
      </w:r>
    </w:p>
    <w:p w14:paraId="771D7F7F" w14:textId="77777777" w:rsidR="00D53B49" w:rsidRPr="008C4038" w:rsidRDefault="00D53B49" w:rsidP="00E837EF">
      <w:pPr>
        <w:pStyle w:val="Heading4"/>
      </w:pPr>
    </w:p>
    <w:p w14:paraId="46908205" w14:textId="24FBB59F" w:rsidR="00D324FA" w:rsidRPr="008C4038" w:rsidRDefault="003518FF" w:rsidP="00E837EF">
      <w:pPr>
        <w:pStyle w:val="Heading4"/>
      </w:pPr>
      <w:r w:rsidRPr="008C4038">
        <w:t xml:space="preserve">The next question was therefore the interpretation of the word “detriment”. </w:t>
      </w:r>
      <w:r w:rsidR="002477C3">
        <w:t>The CA disagreed with the HC’s finding that this</w:t>
      </w:r>
      <w:r w:rsidRPr="008C4038">
        <w:t xml:space="preserve"> did not need proof of actual detriment</w:t>
      </w:r>
      <w:r w:rsidR="002477C3">
        <w:t xml:space="preserve"> to Noble. Instead, the CA held that the word must refer</w:t>
      </w:r>
      <w:r w:rsidR="004F4885" w:rsidRPr="008C4038">
        <w:t xml:space="preserve"> to some negative </w:t>
      </w:r>
      <w:r w:rsidR="004F4885" w:rsidRPr="008C4038">
        <w:rPr>
          <w:i/>
          <w:iCs/>
        </w:rPr>
        <w:t xml:space="preserve">consequence </w:t>
      </w:r>
      <w:r w:rsidR="004F4885" w:rsidRPr="008C4038">
        <w:t xml:space="preserve">to Noble arising from Leiman’s conduct. </w:t>
      </w:r>
      <w:r w:rsidR="008F667A">
        <w:t xml:space="preserve">The CA noted that </w:t>
      </w:r>
      <w:r w:rsidR="00DA766B">
        <w:t xml:space="preserve">absent any actual detriment to Noble, </w:t>
      </w:r>
      <w:r w:rsidR="008F667A">
        <w:t xml:space="preserve">it was difficult to see how it could be said that Leiman had acted to </w:t>
      </w:r>
      <w:r w:rsidR="00DA766B">
        <w:t>Noble’s</w:t>
      </w:r>
      <w:r w:rsidR="008F667A">
        <w:t xml:space="preserve"> detriment. </w:t>
      </w:r>
      <w:r w:rsidR="00F03311">
        <w:t>It also noted that this interpretation</w:t>
      </w:r>
      <w:r w:rsidR="00F12551" w:rsidRPr="008C4038">
        <w:t xml:space="preserve"> cohered better with </w:t>
      </w:r>
      <w:r w:rsidR="00F03311">
        <w:t xml:space="preserve">the context of the Settlement Agreement, which rested on </w:t>
      </w:r>
      <w:r w:rsidR="00F12551" w:rsidRPr="008C4038">
        <w:t>a mutually beneficial arrangement to bring about a smooth and amicable parting of ways</w:t>
      </w:r>
      <w:r w:rsidR="005736C4">
        <w:t xml:space="preserve">. This objective </w:t>
      </w:r>
      <w:r w:rsidR="00F12551" w:rsidRPr="008C4038">
        <w:t>called for commercially sensible arrangements that duly protected both sides.</w:t>
      </w:r>
    </w:p>
    <w:p w14:paraId="119E7A88" w14:textId="77777777" w:rsidR="00D324FA" w:rsidRDefault="00D324FA" w:rsidP="00E837EF">
      <w:pPr>
        <w:pStyle w:val="Heading4"/>
      </w:pPr>
    </w:p>
    <w:p w14:paraId="1192C383" w14:textId="2BC27474" w:rsidR="0044081B" w:rsidRDefault="00326FCD" w:rsidP="00E837EF">
      <w:pPr>
        <w:pStyle w:val="Heading4"/>
      </w:pPr>
      <w:r w:rsidRPr="000A1012">
        <w:t xml:space="preserve">The CA </w:t>
      </w:r>
      <w:r w:rsidR="00D859CE">
        <w:t xml:space="preserve">further noted that such “detriment” related only to conduct taking place </w:t>
      </w:r>
      <w:r w:rsidR="00D859CE" w:rsidRPr="0098290F">
        <w:rPr>
          <w:i/>
          <w:iCs/>
        </w:rPr>
        <w:t>after</w:t>
      </w:r>
      <w:r w:rsidR="00D859CE">
        <w:t xml:space="preserve"> the parties’ entry into the Settlement Agreement</w:t>
      </w:r>
      <w:r w:rsidR="00F64C8A">
        <w:t>; t</w:t>
      </w:r>
      <w:r w:rsidR="007A5A1F">
        <w:t xml:space="preserve">his was in line with </w:t>
      </w:r>
      <w:r w:rsidR="005F2992">
        <w:t>their</w:t>
      </w:r>
      <w:r w:rsidR="007A5A1F">
        <w:t xml:space="preserve"> purpose in entering the agreement, which was to regulate Leiman’s post-resignation conduct and relationship with Noble in a mutually beneficial way</w:t>
      </w:r>
      <w:r w:rsidR="00691C81">
        <w:t>.</w:t>
      </w:r>
      <w:r w:rsidR="007A5A1F">
        <w:t xml:space="preserve"> </w:t>
      </w:r>
      <w:r w:rsidR="00D324FA">
        <w:t xml:space="preserve">The CA also rejected </w:t>
      </w:r>
      <w:r w:rsidR="00167C55">
        <w:t xml:space="preserve">the </w:t>
      </w:r>
      <w:r w:rsidR="00D324FA">
        <w:t xml:space="preserve">appellants’ argument that Leiman would only be found to have acted to Noble’s “detriment” if he was in breach of the obligations under clause 3(a). </w:t>
      </w:r>
      <w:r w:rsidRPr="008C4038">
        <w:t xml:space="preserve">It would be counterintuitive for the parties to have left the identical issue of </w:t>
      </w:r>
      <w:r w:rsidR="0078676E">
        <w:t>his</w:t>
      </w:r>
      <w:r w:rsidRPr="008C4038">
        <w:t xml:space="preserve"> compliance with his contractual obligations to be dealt with by two separate bodies, i.e. the court</w:t>
      </w:r>
      <w:r w:rsidR="00365569">
        <w:t>s</w:t>
      </w:r>
      <w:r w:rsidRPr="008C4038">
        <w:t xml:space="preserve"> and the R&amp;O </w:t>
      </w:r>
      <w:r w:rsidR="00167C55">
        <w:t>C</w:t>
      </w:r>
      <w:r w:rsidR="00167C55" w:rsidRPr="008C4038">
        <w:t>ommittee</w:t>
      </w:r>
      <w:r w:rsidRPr="008C4038">
        <w:t>.</w:t>
      </w:r>
      <w:r w:rsidR="00D64EE0">
        <w:t xml:space="preserve"> </w:t>
      </w:r>
      <w:r w:rsidR="00167C55">
        <w:t xml:space="preserve">The parties would also have repeated the qualification in clause 3(a) in clauses 3(c) and 3(d) if they had intended </w:t>
      </w:r>
      <w:r w:rsidR="00FE19BF">
        <w:t>the “detriment”</w:t>
      </w:r>
      <w:r w:rsidR="00167C55">
        <w:t xml:space="preserve"> </w:t>
      </w:r>
      <w:r w:rsidR="00FE19BF">
        <w:t>considered by the R&amp;O Committee to be co</w:t>
      </w:r>
      <w:r w:rsidR="008403DF">
        <w:t>-</w:t>
      </w:r>
      <w:r w:rsidR="00FE19BF">
        <w:t>extensive with breaches of the same</w:t>
      </w:r>
      <w:r w:rsidR="00167C55">
        <w:t xml:space="preserve"> contractual obligations. </w:t>
      </w:r>
    </w:p>
    <w:p w14:paraId="678703DC" w14:textId="77777777" w:rsidR="0044081B" w:rsidRDefault="0044081B" w:rsidP="00E837EF">
      <w:pPr>
        <w:pStyle w:val="Heading4"/>
      </w:pPr>
    </w:p>
    <w:p w14:paraId="31662A41" w14:textId="7BF18BCF" w:rsidR="004F4885" w:rsidRDefault="0044081B" w:rsidP="00E837EF">
      <w:pPr>
        <w:pStyle w:val="Heading4"/>
      </w:pPr>
      <w:r>
        <w:t xml:space="preserve">Finally, </w:t>
      </w:r>
      <w:r w:rsidR="005637A0">
        <w:t xml:space="preserve">the CA stated that in assessing whether Leiman had acted to Noble’s detriment, </w:t>
      </w:r>
      <w:r w:rsidR="002F46A2">
        <w:t>the R&amp;</w:t>
      </w:r>
      <w:r w:rsidR="00161F0E">
        <w:t>O</w:t>
      </w:r>
      <w:r w:rsidR="002F46A2">
        <w:t xml:space="preserve"> </w:t>
      </w:r>
      <w:r w:rsidR="00161F0E">
        <w:t>C</w:t>
      </w:r>
      <w:r w:rsidR="002F46A2">
        <w:t xml:space="preserve">ommittee was not entitled to consider whether </w:t>
      </w:r>
      <w:r w:rsidR="00B263BE">
        <w:t>he</w:t>
      </w:r>
      <w:r w:rsidR="002F46A2">
        <w:t xml:space="preserve"> had complied with his contractual obligation</w:t>
      </w:r>
      <w:r w:rsidR="00E170EE">
        <w:t>s</w:t>
      </w:r>
      <w:r w:rsidR="002F46A2">
        <w:t xml:space="preserve">. </w:t>
      </w:r>
      <w:r w:rsidR="00AA17E9">
        <w:t xml:space="preserve">The R&amp;O Committee, being a body of commercial people, was not suited to make determinations of a legal nature. </w:t>
      </w:r>
      <w:r w:rsidR="005145ED">
        <w:t>C</w:t>
      </w:r>
      <w:r w:rsidR="005145ED" w:rsidRPr="005145ED">
        <w:t xml:space="preserve">ommercial detriment can follow upon conduct that does not involve a breach of contract, and </w:t>
      </w:r>
      <w:r w:rsidR="005145ED">
        <w:t>not</w:t>
      </w:r>
      <w:r w:rsidR="005145ED" w:rsidRPr="005145ED">
        <w:t xml:space="preserve"> every breach of a contractual obligation will give rise to commercial detriment.</w:t>
      </w:r>
      <w:r w:rsidR="00774C06">
        <w:t xml:space="preserve"> Moreover, it was not o</w:t>
      </w:r>
      <w:r w:rsidR="00774C06" w:rsidRPr="00774C06">
        <w:t xml:space="preserve">bjectively plausible that a legal determination by the court should be interpreted as being open to annulment by the determination of a body of commercial people. </w:t>
      </w:r>
      <w:r w:rsidR="007E0032">
        <w:t xml:space="preserve">Finally, the R&amp;O Committee’s task was never to determine the appropriate </w:t>
      </w:r>
      <w:r w:rsidR="00B51DDC">
        <w:t xml:space="preserve">legal </w:t>
      </w:r>
      <w:r w:rsidR="007E0032">
        <w:t>remedies for any breach of contract by Leiman.</w:t>
      </w:r>
      <w:r w:rsidR="003336CD">
        <w:t xml:space="preserve"> </w:t>
      </w:r>
      <w:r w:rsidR="003336CD" w:rsidRPr="003336CD">
        <w:t xml:space="preserve">If </w:t>
      </w:r>
      <w:r w:rsidR="003336CD">
        <w:t xml:space="preserve">the court found that he had </w:t>
      </w:r>
      <w:r w:rsidR="003336CD" w:rsidRPr="003336CD">
        <w:t>breached his contractual obligations, it would be the court’s task to ensure that NRL was adequately compensated for the loss of its bargain with Leiman</w:t>
      </w:r>
      <w:r w:rsidR="00365696">
        <w:t>,</w:t>
      </w:r>
      <w:r w:rsidR="003336CD" w:rsidRPr="003336CD">
        <w:t xml:space="preserve"> through the grant of appropriate remedies</w:t>
      </w:r>
      <w:r w:rsidR="003336CD">
        <w:t xml:space="preserve">. </w:t>
      </w:r>
      <w:r w:rsidR="00286452">
        <w:t>In contrast,</w:t>
      </w:r>
      <w:r w:rsidR="00286452" w:rsidRPr="00286452">
        <w:t xml:space="preserve"> the R&amp;O Committee was concerned only with </w:t>
      </w:r>
      <w:r w:rsidR="00286452" w:rsidRPr="00286452">
        <w:lastRenderedPageBreak/>
        <w:t>Leiman’s Noble-related severance entitlements</w:t>
      </w:r>
      <w:r w:rsidR="0075548D">
        <w:t>;</w:t>
      </w:r>
      <w:r w:rsidR="002A7E79">
        <w:t xml:space="preserve"> t</w:t>
      </w:r>
      <w:r w:rsidR="002A7E79" w:rsidRPr="002A7E79">
        <w:t>he deprivation of these entitlements would not be a recognised remedy for a purported breach of contract</w:t>
      </w:r>
      <w:r w:rsidR="00286452" w:rsidRPr="00286452">
        <w:t xml:space="preserve">. </w:t>
      </w:r>
    </w:p>
    <w:p w14:paraId="6A875C7C" w14:textId="77777777" w:rsidR="00D53B49" w:rsidRPr="008C4038" w:rsidRDefault="00D53B49" w:rsidP="00E837EF">
      <w:pPr>
        <w:pStyle w:val="Heading4"/>
      </w:pPr>
    </w:p>
    <w:p w14:paraId="659A4E86" w14:textId="73781CB2" w:rsidR="007B45FF" w:rsidRPr="008C4038" w:rsidRDefault="00DA534C" w:rsidP="006910BD">
      <w:pPr>
        <w:pStyle w:val="Heading2"/>
        <w:widowControl w:val="0"/>
        <w:spacing w:line="240" w:lineRule="auto"/>
      </w:pPr>
      <w:r w:rsidRPr="008C4038">
        <w:t xml:space="preserve">Whether </w:t>
      </w:r>
      <w:r w:rsidR="00B51B57">
        <w:t xml:space="preserve">certain </w:t>
      </w:r>
      <w:r w:rsidRPr="008C4038">
        <w:t xml:space="preserve">clauses </w:t>
      </w:r>
      <w:r w:rsidR="009C1146">
        <w:t xml:space="preserve">under clause 3 </w:t>
      </w:r>
      <w:r w:rsidRPr="008C4038">
        <w:t>were void for being penalty clauses</w:t>
      </w:r>
    </w:p>
    <w:p w14:paraId="44E5D109" w14:textId="7C2393B7" w:rsidR="00E53243" w:rsidRDefault="001E4EF8" w:rsidP="00E837EF">
      <w:pPr>
        <w:pStyle w:val="Heading4"/>
      </w:pPr>
      <w:r>
        <w:t>The CA t</w:t>
      </w:r>
      <w:r w:rsidR="00DA534C" w:rsidRPr="008C4038">
        <w:t>hen consider</w:t>
      </w:r>
      <w:r>
        <w:t>ed</w:t>
      </w:r>
      <w:r w:rsidR="00DA534C" w:rsidRPr="008C4038">
        <w:t xml:space="preserve"> whether clause 3</w:t>
      </w:r>
      <w:r w:rsidR="007A7C1F">
        <w:t xml:space="preserve"> </w:t>
      </w:r>
      <w:r w:rsidR="00F9769F">
        <w:t>fell</w:t>
      </w:r>
      <w:r w:rsidR="00DA534C" w:rsidRPr="008C4038">
        <w:t xml:space="preserve"> afoul of the rule against penalties.</w:t>
      </w:r>
      <w:r w:rsidR="00D53B49">
        <w:t xml:space="preserve"> </w:t>
      </w:r>
      <w:r w:rsidR="001D58BF" w:rsidRPr="006D4B3D">
        <w:t>The corollary of recognising  the  parties’ freedom  of  contract  is  that  the  law allows  them  the  freedom  to  change  their mind  and  break  their  contractual  undertakings, albeit  at  a  price</w:t>
      </w:r>
      <w:r w:rsidR="001D58BF">
        <w:t xml:space="preserve">. </w:t>
      </w:r>
      <w:r w:rsidR="001D58BF" w:rsidRPr="006D4B3D">
        <w:t xml:space="preserve">To address this, the law imports  into  contracts  a  secondary  obligation to  pay  compensatory  damages  to  remedy  breaches  of  contract.  </w:t>
      </w:r>
      <w:r w:rsidR="00EB57A8" w:rsidRPr="006D4B3D">
        <w:t>Where the parties stipulate the way in which a secondary obligation is to be discharged, this will be scrutinised by the court before it is upheld</w:t>
      </w:r>
      <w:r w:rsidR="00EB57A8">
        <w:t xml:space="preserve">. </w:t>
      </w:r>
    </w:p>
    <w:p w14:paraId="40584383" w14:textId="77777777" w:rsidR="00E53243" w:rsidRDefault="00E53243" w:rsidP="00E837EF">
      <w:pPr>
        <w:pStyle w:val="Heading4"/>
      </w:pPr>
    </w:p>
    <w:p w14:paraId="14A7B456" w14:textId="2C146206" w:rsidR="00DC7739" w:rsidRDefault="005B1E55" w:rsidP="00E837EF">
      <w:pPr>
        <w:pStyle w:val="Heading4"/>
      </w:pPr>
      <w:r>
        <w:t xml:space="preserve">In this respect, the rule against penalties </w:t>
      </w:r>
      <w:r w:rsidR="00DA2ACB">
        <w:t xml:space="preserve">makes </w:t>
      </w:r>
      <w:r w:rsidR="0026049C">
        <w:t>a clause unenforceable if</w:t>
      </w:r>
      <w:r w:rsidR="00A375C0">
        <w:t xml:space="preserve"> </w:t>
      </w:r>
      <w:r w:rsidR="0026049C">
        <w:t xml:space="preserve">that clause imposes consequences on a </w:t>
      </w:r>
      <w:r w:rsidR="00BA20CD">
        <w:t xml:space="preserve">party who </w:t>
      </w:r>
      <w:r w:rsidR="00614C16">
        <w:t>breach</w:t>
      </w:r>
      <w:r w:rsidR="00BA20CD">
        <w:t>es a</w:t>
      </w:r>
      <w:r w:rsidR="00614C16">
        <w:t xml:space="preserve"> contract</w:t>
      </w:r>
      <w:r w:rsidR="0026049C">
        <w:t xml:space="preserve"> </w:t>
      </w:r>
      <w:r w:rsidR="00E53243">
        <w:t xml:space="preserve">which </w:t>
      </w:r>
      <w:r w:rsidR="00A375C0">
        <w:t xml:space="preserve">are </w:t>
      </w:r>
      <w:r w:rsidR="0026049C">
        <w:t xml:space="preserve">not reflective of the innocent party’s interest in being compensated, but are in fact </w:t>
      </w:r>
      <w:r w:rsidR="00A375C0">
        <w:t>meant to</w:t>
      </w:r>
      <w:r w:rsidR="00DA3EC5">
        <w:t xml:space="preserve"> hold the </w:t>
      </w:r>
      <w:r w:rsidR="00B04F5C">
        <w:t>breaching</w:t>
      </w:r>
      <w:r w:rsidR="00DA3EC5">
        <w:t xml:space="preserve"> party</w:t>
      </w:r>
      <w:r w:rsidR="0026049C">
        <w:t xml:space="preserve"> </w:t>
      </w:r>
      <w:r w:rsidR="0026049C" w:rsidRPr="00692387">
        <w:rPr>
          <w:i/>
          <w:iCs/>
        </w:rPr>
        <w:t>in terrorem</w:t>
      </w:r>
      <w:r w:rsidR="00257426">
        <w:t>,</w:t>
      </w:r>
      <w:r w:rsidR="008552D8">
        <w:t xml:space="preserve"> or</w:t>
      </w:r>
      <w:r w:rsidR="009B6359">
        <w:t xml:space="preserve"> </w:t>
      </w:r>
      <w:r w:rsidR="008552D8">
        <w:t>“</w:t>
      </w:r>
      <w:r w:rsidR="009B6359">
        <w:t>in terror</w:t>
      </w:r>
      <w:r w:rsidR="008552D8">
        <w:t xml:space="preserve">”, with a view to compelling the </w:t>
      </w:r>
      <w:r w:rsidR="00B04F5C">
        <w:t>breaching</w:t>
      </w:r>
      <w:r w:rsidR="008552D8">
        <w:t xml:space="preserve"> party to act in a certain way.</w:t>
      </w:r>
      <w:r w:rsidR="005A5617">
        <w:rPr>
          <w:rStyle w:val="FootnoteReference"/>
        </w:rPr>
        <w:footnoteReference w:id="3"/>
      </w:r>
      <w:r w:rsidR="0038050D">
        <w:rPr>
          <w:i/>
          <w:iCs/>
        </w:rPr>
        <w:t xml:space="preserve"> </w:t>
      </w:r>
      <w:r w:rsidR="00614C16">
        <w:t>S</w:t>
      </w:r>
      <w:r w:rsidR="00AF5525">
        <w:t>uch penalty clauses</w:t>
      </w:r>
      <w:r w:rsidR="00614C16">
        <w:t xml:space="preserve"> </w:t>
      </w:r>
      <w:r w:rsidR="0026049C">
        <w:t>would not be given effect by the courts.</w:t>
      </w:r>
      <w:r w:rsidR="005D1DCC">
        <w:t xml:space="preserve"> </w:t>
      </w:r>
    </w:p>
    <w:p w14:paraId="14A406DF" w14:textId="77777777" w:rsidR="00DC7739" w:rsidRDefault="00DC7739" w:rsidP="00E837EF">
      <w:pPr>
        <w:pStyle w:val="Heading4"/>
      </w:pPr>
    </w:p>
    <w:p w14:paraId="6458FCAA" w14:textId="7BE6D6FA" w:rsidR="0026049C" w:rsidRPr="00797DDF" w:rsidRDefault="00B11F25" w:rsidP="00E837EF">
      <w:pPr>
        <w:pStyle w:val="Heading4"/>
      </w:pPr>
      <w:r>
        <w:t xml:space="preserve">The </w:t>
      </w:r>
      <w:r w:rsidR="007A1546">
        <w:t>traditional test</w:t>
      </w:r>
      <w:r w:rsidR="000122A1">
        <w:t xml:space="preserve"> for whether a clause is a penalty is whether the penalty constitutes a genuine pre-estimate of damages</w:t>
      </w:r>
      <w:r w:rsidR="005E0817">
        <w:t xml:space="preserve"> (“</w:t>
      </w:r>
      <w:r w:rsidR="005E0817">
        <w:rPr>
          <w:b/>
          <w:bCs/>
          <w:i/>
          <w:iCs/>
        </w:rPr>
        <w:t xml:space="preserve">Dunlop </w:t>
      </w:r>
      <w:r w:rsidR="005E0817" w:rsidRPr="00797DDF">
        <w:rPr>
          <w:b/>
          <w:bCs/>
        </w:rPr>
        <w:t>test</w:t>
      </w:r>
      <w:r w:rsidR="005E0817">
        <w:t>”)</w:t>
      </w:r>
      <w:r w:rsidR="000122A1">
        <w:t>.</w:t>
      </w:r>
      <w:r w:rsidRPr="001B0FD0">
        <w:rPr>
          <w:vertAlign w:val="superscript"/>
        </w:rPr>
        <w:footnoteReference w:id="4"/>
      </w:r>
      <w:r>
        <w:t xml:space="preserve"> </w:t>
      </w:r>
      <w:r w:rsidR="00DA6C67">
        <w:t>A</w:t>
      </w:r>
      <w:r w:rsidR="005E0817">
        <w:t xml:space="preserve"> later</w:t>
      </w:r>
      <w:r w:rsidR="00DA6C67">
        <w:t xml:space="preserve"> test</w:t>
      </w:r>
      <w:r w:rsidR="005D1DCC">
        <w:t xml:space="preserve">, however, </w:t>
      </w:r>
      <w:r w:rsidR="00167C55">
        <w:t xml:space="preserve">has </w:t>
      </w:r>
      <w:r w:rsidR="005D1DCC">
        <w:t>reformulated the rule and</w:t>
      </w:r>
      <w:r w:rsidR="00DA6C67">
        <w:t xml:space="preserve"> stated that a clause is </w:t>
      </w:r>
      <w:r w:rsidR="00583E8C">
        <w:t>a penalty clause</w:t>
      </w:r>
      <w:r w:rsidR="00DA6C67">
        <w:t xml:space="preserve"> if it imposes a secondary obligation</w:t>
      </w:r>
      <w:r w:rsidR="00583E8C">
        <w:t xml:space="preserve"> </w:t>
      </w:r>
      <w:r w:rsidR="00343641">
        <w:t>(</w:t>
      </w:r>
      <w:r w:rsidR="00583E8C">
        <w:t>rather than a primary obligation</w:t>
      </w:r>
      <w:r w:rsidR="00AB7EC6">
        <w:t>)</w:t>
      </w:r>
      <w:r w:rsidR="006A6B3C">
        <w:t xml:space="preserve"> which imposes a detriment on the breaching party </w:t>
      </w:r>
      <w:r w:rsidR="00343641">
        <w:t xml:space="preserve">which is </w:t>
      </w:r>
      <w:r w:rsidR="00DA6C67" w:rsidRPr="00B11F25">
        <w:t xml:space="preserve">out of all proportion to </w:t>
      </w:r>
      <w:r w:rsidR="00343641">
        <w:t>the</w:t>
      </w:r>
      <w:r w:rsidR="00DA6C67" w:rsidRPr="00B11F25">
        <w:t xml:space="preserve"> legitimate interest </w:t>
      </w:r>
      <w:r w:rsidR="00DA6C67">
        <w:t xml:space="preserve">of the </w:t>
      </w:r>
      <w:r w:rsidR="00AB7EC6">
        <w:t>innocent</w:t>
      </w:r>
      <w:r w:rsidR="00DA6C67">
        <w:t xml:space="preserve"> party </w:t>
      </w:r>
      <w:r w:rsidR="00DA6C67" w:rsidRPr="00B11F25">
        <w:t>that is sought to be protected</w:t>
      </w:r>
      <w:r w:rsidR="00DA6C67">
        <w:t xml:space="preserve"> by the clause</w:t>
      </w:r>
      <w:r w:rsidR="005E0817">
        <w:t xml:space="preserve"> (“</w:t>
      </w:r>
      <w:r w:rsidR="005E0817" w:rsidRPr="00797DDF">
        <w:rPr>
          <w:b/>
          <w:bCs/>
          <w:i/>
          <w:iCs/>
        </w:rPr>
        <w:t xml:space="preserve">Cavendish </w:t>
      </w:r>
      <w:r w:rsidR="005E0817" w:rsidRPr="00797DDF">
        <w:rPr>
          <w:b/>
          <w:bCs/>
        </w:rPr>
        <w:t>test</w:t>
      </w:r>
      <w:r w:rsidR="005E0817">
        <w:t>”)</w:t>
      </w:r>
      <w:r w:rsidR="00AB7EC6">
        <w:t>.</w:t>
      </w:r>
      <w:r w:rsidR="00860601" w:rsidRPr="001B0FD0">
        <w:rPr>
          <w:vertAlign w:val="superscript"/>
        </w:rPr>
        <w:footnoteReference w:id="5"/>
      </w:r>
      <w:r w:rsidR="00F2484F">
        <w:t xml:space="preserve"> </w:t>
      </w:r>
      <w:r w:rsidR="00F2484F" w:rsidRPr="00217C30">
        <w:t xml:space="preserve">Singapore had, up to now, adopted the </w:t>
      </w:r>
      <w:r w:rsidR="00F2484F" w:rsidRPr="00217C30">
        <w:rPr>
          <w:i/>
          <w:iCs/>
        </w:rPr>
        <w:t>Dunl</w:t>
      </w:r>
      <w:r w:rsidR="00F2484F" w:rsidRPr="000F39DA">
        <w:rPr>
          <w:i/>
          <w:iCs/>
        </w:rPr>
        <w:t>op</w:t>
      </w:r>
      <w:r w:rsidR="00F2484F" w:rsidRPr="00A04EAE">
        <w:t xml:space="preserve"> test, and had yet to decide on the </w:t>
      </w:r>
      <w:r w:rsidR="00F2484F" w:rsidRPr="00A04EAE">
        <w:rPr>
          <w:i/>
          <w:iCs/>
        </w:rPr>
        <w:t xml:space="preserve">Cavendish </w:t>
      </w:r>
      <w:r w:rsidR="00F2484F" w:rsidRPr="00A04EAE">
        <w:t>test.</w:t>
      </w:r>
      <w:r>
        <w:t xml:space="preserve"> </w:t>
      </w:r>
      <w:r w:rsidR="000F55D4" w:rsidRPr="00797DDF">
        <w:t>However, t</w:t>
      </w:r>
      <w:r w:rsidR="0026049C" w:rsidRPr="00797DDF">
        <w:t xml:space="preserve">he </w:t>
      </w:r>
      <w:r w:rsidR="004E564C" w:rsidRPr="00797DDF">
        <w:t>HC</w:t>
      </w:r>
      <w:r w:rsidR="005E0817" w:rsidRPr="00797DDF">
        <w:t xml:space="preserve"> </w:t>
      </w:r>
      <w:r w:rsidR="004E564C" w:rsidRPr="00797DDF">
        <w:t xml:space="preserve">adopted the </w:t>
      </w:r>
      <w:r w:rsidR="004E564C" w:rsidRPr="00797DDF">
        <w:rPr>
          <w:i/>
          <w:iCs/>
        </w:rPr>
        <w:t xml:space="preserve">Cavendish </w:t>
      </w:r>
      <w:r w:rsidR="004E564C" w:rsidRPr="00797DDF">
        <w:t xml:space="preserve">test and found </w:t>
      </w:r>
      <w:r w:rsidR="00167C55">
        <w:t xml:space="preserve">that </w:t>
      </w:r>
      <w:r w:rsidR="004E564C" w:rsidRPr="00797DDF">
        <w:t xml:space="preserve">clause 3(c) </w:t>
      </w:r>
      <w:r w:rsidR="00167C55">
        <w:t xml:space="preserve">was not </w:t>
      </w:r>
      <w:r w:rsidR="004E564C" w:rsidRPr="00797DDF">
        <w:t>an unenforceable penalty clause.</w:t>
      </w:r>
    </w:p>
    <w:p w14:paraId="6B4CF137" w14:textId="77777777" w:rsidR="004E564C" w:rsidRDefault="004E564C" w:rsidP="00E837EF">
      <w:pPr>
        <w:pStyle w:val="Heading4"/>
      </w:pPr>
    </w:p>
    <w:p w14:paraId="00981460" w14:textId="124721A8" w:rsidR="00DA534C" w:rsidRPr="008C4038" w:rsidRDefault="00B32B8D" w:rsidP="00E837EF">
      <w:pPr>
        <w:pStyle w:val="Heading4"/>
      </w:pPr>
      <w:r>
        <w:t>T</w:t>
      </w:r>
      <w:r w:rsidR="004E564C">
        <w:t xml:space="preserve">he CA did not </w:t>
      </w:r>
      <w:r w:rsidR="001C7DD0">
        <w:t xml:space="preserve">either </w:t>
      </w:r>
      <w:r w:rsidR="004E564C">
        <w:t xml:space="preserve">affirm or overrule the HC on the applicability of the </w:t>
      </w:r>
      <w:r w:rsidR="004E564C">
        <w:rPr>
          <w:i/>
          <w:iCs/>
        </w:rPr>
        <w:t xml:space="preserve">Cavendish </w:t>
      </w:r>
      <w:r w:rsidR="004E564C">
        <w:t>test</w:t>
      </w:r>
      <w:r w:rsidR="006F6BA1">
        <w:t xml:space="preserve">. </w:t>
      </w:r>
      <w:r w:rsidR="003F4481">
        <w:t xml:space="preserve">The CA found that </w:t>
      </w:r>
      <w:r w:rsidR="003F4481" w:rsidRPr="008C4038">
        <w:t>clause 3(a)</w:t>
      </w:r>
      <w:r w:rsidR="003F4481">
        <w:t xml:space="preserve"> </w:t>
      </w:r>
      <w:r w:rsidR="003F4481" w:rsidRPr="008C4038">
        <w:t xml:space="preserve">was a penalty clause regardless of whether the </w:t>
      </w:r>
      <w:r w:rsidR="003F4481" w:rsidRPr="008C4038">
        <w:rPr>
          <w:i/>
          <w:iCs/>
        </w:rPr>
        <w:t xml:space="preserve">Cavendish </w:t>
      </w:r>
      <w:r w:rsidR="003F4481" w:rsidRPr="008C4038">
        <w:t xml:space="preserve">or </w:t>
      </w:r>
      <w:r w:rsidR="003F4481" w:rsidRPr="008C4038">
        <w:rPr>
          <w:i/>
          <w:iCs/>
        </w:rPr>
        <w:t xml:space="preserve">Dunlop </w:t>
      </w:r>
      <w:r w:rsidR="003F4481" w:rsidRPr="008C4038">
        <w:t>test</w:t>
      </w:r>
      <w:r w:rsidR="003F4481">
        <w:t xml:space="preserve"> was</w:t>
      </w:r>
      <w:r w:rsidR="003F4481" w:rsidRPr="008C4038">
        <w:t xml:space="preserve"> applied</w:t>
      </w:r>
      <w:r w:rsidR="003F4481">
        <w:t>.</w:t>
      </w:r>
      <w:r w:rsidR="003F4481" w:rsidRPr="008C4038">
        <w:t xml:space="preserve"> </w:t>
      </w:r>
      <w:r w:rsidR="003F4481">
        <w:t xml:space="preserve">As to </w:t>
      </w:r>
      <w:r w:rsidR="003F4481" w:rsidRPr="008C4038">
        <w:t>clauses 3(c) and 3(d),</w:t>
      </w:r>
      <w:r w:rsidR="003F4481">
        <w:t xml:space="preserve"> </w:t>
      </w:r>
      <w:r w:rsidR="006F6BA1">
        <w:t xml:space="preserve">the question did not even arise </w:t>
      </w:r>
      <w:r w:rsidR="006F6BA1" w:rsidRPr="008C4038">
        <w:t xml:space="preserve">as they </w:t>
      </w:r>
      <w:r w:rsidR="006F6BA1">
        <w:t>were not secondary obligations</w:t>
      </w:r>
      <w:r w:rsidR="006F6BA1" w:rsidRPr="008C4038">
        <w:t xml:space="preserve"> that were triggered by Leiman’s breach of contract.</w:t>
      </w:r>
      <w:r w:rsidR="004E564C">
        <w:t xml:space="preserve"> </w:t>
      </w:r>
    </w:p>
    <w:p w14:paraId="323A6D13" w14:textId="77777777" w:rsidR="00D53B49" w:rsidRPr="008C4038" w:rsidRDefault="00D53B49" w:rsidP="00E837EF">
      <w:pPr>
        <w:pStyle w:val="Heading4"/>
      </w:pPr>
    </w:p>
    <w:p w14:paraId="79D62629" w14:textId="6D2C5ECC" w:rsidR="00BB1606" w:rsidRDefault="00C1436E" w:rsidP="00E837EF">
      <w:pPr>
        <w:pStyle w:val="Heading4"/>
      </w:pPr>
      <w:r w:rsidRPr="00DF053B">
        <w:rPr>
          <w:u w:val="single"/>
        </w:rPr>
        <w:t>Primary v</w:t>
      </w:r>
      <w:r w:rsidR="00351657">
        <w:rPr>
          <w:u w:val="single"/>
        </w:rPr>
        <w:t>er</w:t>
      </w:r>
      <w:r w:rsidRPr="00DF053B">
        <w:rPr>
          <w:u w:val="single"/>
        </w:rPr>
        <w:t>s</w:t>
      </w:r>
      <w:r w:rsidR="00351657">
        <w:rPr>
          <w:u w:val="single"/>
        </w:rPr>
        <w:t>us</w:t>
      </w:r>
      <w:r w:rsidRPr="00DF053B">
        <w:rPr>
          <w:u w:val="single"/>
        </w:rPr>
        <w:t xml:space="preserve"> secondary obligations.</w:t>
      </w:r>
      <w:r>
        <w:t xml:space="preserve"> </w:t>
      </w:r>
      <w:r w:rsidR="009F5557" w:rsidRPr="008C4038">
        <w:t xml:space="preserve">The </w:t>
      </w:r>
      <w:r w:rsidR="007111F7">
        <w:t xml:space="preserve">CA </w:t>
      </w:r>
      <w:r w:rsidR="00DC7739">
        <w:t xml:space="preserve">reiterated </w:t>
      </w:r>
      <w:r w:rsidR="007111F7">
        <w:t>that</w:t>
      </w:r>
      <w:r w:rsidR="001B5100">
        <w:t xml:space="preserve"> the</w:t>
      </w:r>
      <w:r w:rsidR="007111F7">
        <w:t xml:space="preserve"> </w:t>
      </w:r>
      <w:r w:rsidR="009F5557" w:rsidRPr="008C4038">
        <w:t>rule against penalties applie</w:t>
      </w:r>
      <w:r>
        <w:t>d</w:t>
      </w:r>
      <w:r w:rsidR="009F5557" w:rsidRPr="008C4038">
        <w:t xml:space="preserve"> only to clauses that impose secondary obligations.</w:t>
      </w:r>
      <w:r w:rsidR="00E27878">
        <w:rPr>
          <w:rStyle w:val="FootnoteReference"/>
        </w:rPr>
        <w:footnoteReference w:id="6"/>
      </w:r>
      <w:r w:rsidR="00DB3BE1">
        <w:t xml:space="preserve"> </w:t>
      </w:r>
      <w:r w:rsidR="00955855" w:rsidRPr="008C4038">
        <w:t>In considering whe</w:t>
      </w:r>
      <w:r w:rsidR="001577EE" w:rsidRPr="008C4038">
        <w:t xml:space="preserve">ther a clause imposes a primary or secondary obligation, the court should approach the issue as a matter of </w:t>
      </w:r>
      <w:r w:rsidR="001577EE" w:rsidRPr="00DF053B">
        <w:rPr>
          <w:i/>
          <w:iCs/>
        </w:rPr>
        <w:t>substance</w:t>
      </w:r>
      <w:r w:rsidR="001577EE" w:rsidRPr="008C4038">
        <w:t xml:space="preserve"> rather than </w:t>
      </w:r>
      <w:r w:rsidR="001577EE" w:rsidRPr="00DF053B">
        <w:rPr>
          <w:i/>
          <w:iCs/>
        </w:rPr>
        <w:t>form</w:t>
      </w:r>
      <w:r w:rsidR="007420D6">
        <w:t>, with the inquiry being directed towards and guided by</w:t>
      </w:r>
      <w:r w:rsidR="00C1512D">
        <w:t>:</w:t>
      </w:r>
      <w:r w:rsidR="001577EE" w:rsidRPr="008C4038">
        <w:t xml:space="preserve"> (a) the overall context in which the bargain in the clause was struck</w:t>
      </w:r>
      <w:r w:rsidR="00141EF1">
        <w:t>;</w:t>
      </w:r>
      <w:r w:rsidR="001577EE" w:rsidRPr="008C4038">
        <w:t xml:space="preserve"> (b) any reasons why the parties agreed to include the clause in the contract</w:t>
      </w:r>
      <w:r w:rsidR="00141EF1">
        <w:t xml:space="preserve">; </w:t>
      </w:r>
      <w:r w:rsidR="001577EE" w:rsidRPr="008C4038">
        <w:t>and (c) whether the clause was entered into and contemplated as part of the parties’ primary obligations under the contract in order to secure some independent commercial purpose or end, or whether it was</w:t>
      </w:r>
      <w:r w:rsidR="00141EF1">
        <w:t xml:space="preserve"> </w:t>
      </w:r>
      <w:r w:rsidR="001577EE" w:rsidRPr="008C4038">
        <w:t xml:space="preserve">to hold the affected party </w:t>
      </w:r>
      <w:r w:rsidR="001577EE" w:rsidRPr="008C4038">
        <w:rPr>
          <w:i/>
          <w:iCs/>
        </w:rPr>
        <w:t xml:space="preserve">in terrorem </w:t>
      </w:r>
      <w:r w:rsidR="001577EE" w:rsidRPr="008C4038">
        <w:t>in order</w:t>
      </w:r>
      <w:r w:rsidR="000349F0">
        <w:t xml:space="preserve"> </w:t>
      </w:r>
      <w:r w:rsidR="001577EE" w:rsidRPr="008C4038">
        <w:t>to secure his compliance with his primary obligations.</w:t>
      </w:r>
      <w:r w:rsidR="00C00818">
        <w:t xml:space="preserve"> </w:t>
      </w:r>
    </w:p>
    <w:p w14:paraId="6206023F" w14:textId="77777777" w:rsidR="00BB1606" w:rsidRDefault="00BB1606" w:rsidP="00E837EF">
      <w:pPr>
        <w:pStyle w:val="Heading4"/>
      </w:pPr>
    </w:p>
    <w:p w14:paraId="70363DC6" w14:textId="563DE5A5" w:rsidR="00D53B49" w:rsidRDefault="00C00818" w:rsidP="00E837EF">
      <w:pPr>
        <w:pStyle w:val="Heading4"/>
      </w:pPr>
      <w:r>
        <w:t>The CA then applied this framework to the present case.</w:t>
      </w:r>
      <w:r w:rsidR="00BB1606">
        <w:t xml:space="preserve"> </w:t>
      </w:r>
      <w:r w:rsidR="0034306E">
        <w:t xml:space="preserve">Looking to </w:t>
      </w:r>
      <w:r w:rsidR="001577EE" w:rsidRPr="008C4038">
        <w:t xml:space="preserve">the overall context of the </w:t>
      </w:r>
      <w:r w:rsidR="0099023C">
        <w:t xml:space="preserve">Settlement Agreement, </w:t>
      </w:r>
      <w:r w:rsidR="003F03BD">
        <w:t xml:space="preserve">the CA </w:t>
      </w:r>
      <w:r w:rsidR="00952E2B">
        <w:t xml:space="preserve">first </w:t>
      </w:r>
      <w:r w:rsidR="003F03BD">
        <w:t xml:space="preserve">noted that </w:t>
      </w:r>
      <w:r w:rsidR="003F03BD" w:rsidRPr="00217C30">
        <w:t>the</w:t>
      </w:r>
      <w:r w:rsidR="00952E2B">
        <w:t xml:space="preserve"> </w:t>
      </w:r>
      <w:r w:rsidR="003F03BD" w:rsidRPr="00217C30">
        <w:t xml:space="preserve">impetus for this </w:t>
      </w:r>
      <w:r w:rsidR="003F03BD" w:rsidRPr="000F39DA">
        <w:t>agreement</w:t>
      </w:r>
      <w:r w:rsidR="003F03BD" w:rsidRPr="003F03BD">
        <w:t xml:space="preserve"> was the parties’</w:t>
      </w:r>
      <w:r w:rsidR="00952E2B">
        <w:t xml:space="preserve"> </w:t>
      </w:r>
      <w:r w:rsidR="003F03BD" w:rsidRPr="00217C30">
        <w:t xml:space="preserve">desire </w:t>
      </w:r>
      <w:r w:rsidR="003F03BD" w:rsidRPr="00217C30">
        <w:lastRenderedPageBreak/>
        <w:t>to</w:t>
      </w:r>
      <w:r w:rsidR="003F03BD" w:rsidRPr="000F39DA">
        <w:t xml:space="preserve"> </w:t>
      </w:r>
      <w:r w:rsidR="00952E2B">
        <w:t xml:space="preserve">create </w:t>
      </w:r>
      <w:r w:rsidR="003F03BD" w:rsidRPr="00217C30">
        <w:t>a mutually</w:t>
      </w:r>
      <w:r w:rsidR="003F03BD" w:rsidRPr="000F39DA">
        <w:t xml:space="preserve"> beneficial</w:t>
      </w:r>
      <w:r w:rsidR="003F03BD" w:rsidRPr="003F03BD">
        <w:t xml:space="preserve"> compromise to </w:t>
      </w:r>
      <w:proofErr w:type="gramStart"/>
      <w:r w:rsidR="003F03BD" w:rsidRPr="003F03BD">
        <w:t>effect</w:t>
      </w:r>
      <w:proofErr w:type="gramEnd"/>
      <w:r w:rsidR="003F03BD" w:rsidRPr="003F03BD">
        <w:t xml:space="preserve"> a “clean break” in their employment relationship, with the intention of leaving no outstanding legal issues between them.</w:t>
      </w:r>
    </w:p>
    <w:p w14:paraId="6CC82240" w14:textId="77777777" w:rsidR="00952E2B" w:rsidRDefault="00952E2B" w:rsidP="00E837EF">
      <w:pPr>
        <w:pStyle w:val="Heading4"/>
      </w:pPr>
    </w:p>
    <w:p w14:paraId="7D6BF2E4" w14:textId="1385C415" w:rsidR="003F4481" w:rsidRDefault="007C3537" w:rsidP="00E837EF">
      <w:pPr>
        <w:pStyle w:val="Heading4"/>
        <w:rPr>
          <w:iCs/>
        </w:rPr>
      </w:pPr>
      <w:r>
        <w:rPr>
          <w:u w:val="single"/>
        </w:rPr>
        <w:t>Clause 3(a)</w:t>
      </w:r>
      <w:r w:rsidRPr="00480739">
        <w:t>.</w:t>
      </w:r>
      <w:r>
        <w:t xml:space="preserve"> </w:t>
      </w:r>
      <w:r w:rsidR="002F45BA">
        <w:t>T</w:t>
      </w:r>
      <w:r w:rsidR="009F5557" w:rsidRPr="006A2FFC">
        <w:t xml:space="preserve">he CA considered that as a matter of </w:t>
      </w:r>
      <w:r w:rsidR="009F5557" w:rsidRPr="006A2FFC">
        <w:rPr>
          <w:i/>
          <w:iCs/>
        </w:rPr>
        <w:t>form</w:t>
      </w:r>
      <w:r w:rsidR="009F5557" w:rsidRPr="006A2FFC">
        <w:t>, clause</w:t>
      </w:r>
      <w:r w:rsidR="009F5557" w:rsidRPr="008C4038">
        <w:t xml:space="preserve"> </w:t>
      </w:r>
      <w:r w:rsidR="002F45BA">
        <w:t xml:space="preserve">3(a) </w:t>
      </w:r>
      <w:r w:rsidR="00066A87">
        <w:t>was</w:t>
      </w:r>
      <w:r w:rsidR="009F5557" w:rsidRPr="008C4038">
        <w:t xml:space="preserve"> phrased as a </w:t>
      </w:r>
      <w:r w:rsidR="009F5557" w:rsidRPr="008C4038">
        <w:rPr>
          <w:i/>
          <w:iCs/>
        </w:rPr>
        <w:t xml:space="preserve">primary </w:t>
      </w:r>
      <w:r w:rsidR="009F5557" w:rsidRPr="00DF053B">
        <w:t>obligation</w:t>
      </w:r>
      <w:r w:rsidR="009F5557" w:rsidRPr="008C4038">
        <w:rPr>
          <w:i/>
          <w:iCs/>
        </w:rPr>
        <w:t xml:space="preserve"> </w:t>
      </w:r>
      <w:r w:rsidR="009F5557" w:rsidRPr="008C4038">
        <w:t>upon Noble to provide</w:t>
      </w:r>
      <w:r w:rsidR="00353DC7">
        <w:t xml:space="preserve"> </w:t>
      </w:r>
      <w:r w:rsidR="009F5557" w:rsidRPr="008C4038">
        <w:t xml:space="preserve">Leiman with payments and benefits </w:t>
      </w:r>
      <w:r w:rsidR="008452FD" w:rsidRPr="00217C30">
        <w:t xml:space="preserve">upon a contingency </w:t>
      </w:r>
      <w:r w:rsidR="008452FD" w:rsidRPr="000F39DA">
        <w:t>being fulfilled,</w:t>
      </w:r>
      <w:r w:rsidR="008452FD">
        <w:t xml:space="preserve"> i.e.</w:t>
      </w:r>
      <w:r w:rsidR="008452FD" w:rsidRPr="00217C30">
        <w:t xml:space="preserve"> Leiman’s continued </w:t>
      </w:r>
      <w:r w:rsidR="008452FD" w:rsidRPr="000F39DA">
        <w:t>compliance</w:t>
      </w:r>
      <w:r w:rsidR="008452FD">
        <w:t xml:space="preserve"> </w:t>
      </w:r>
      <w:r w:rsidR="008452FD" w:rsidRPr="00217C30">
        <w:t>with</w:t>
      </w:r>
      <w:r w:rsidR="008452FD" w:rsidRPr="000F39DA">
        <w:t xml:space="preserve"> his</w:t>
      </w:r>
      <w:r w:rsidR="008452FD">
        <w:t xml:space="preserve"> </w:t>
      </w:r>
      <w:r w:rsidR="008452FD" w:rsidRPr="00217C30">
        <w:t>contractual</w:t>
      </w:r>
      <w:r w:rsidR="008452FD">
        <w:t xml:space="preserve"> </w:t>
      </w:r>
      <w:r w:rsidR="008452FD" w:rsidRPr="00217C30">
        <w:t xml:space="preserve">obligations of non-competition </w:t>
      </w:r>
      <w:r w:rsidR="008452FD" w:rsidRPr="000F39DA">
        <w:t>and confidentiality</w:t>
      </w:r>
      <w:r w:rsidR="00FD187F">
        <w:t>.</w:t>
      </w:r>
      <w:r w:rsidR="00764ED0">
        <w:t xml:space="preserve"> </w:t>
      </w:r>
      <w:r w:rsidR="003017A0" w:rsidRPr="008C4038">
        <w:t xml:space="preserve">However, </w:t>
      </w:r>
      <w:r w:rsidR="003017A0" w:rsidRPr="006A2FFC">
        <w:rPr>
          <w:i/>
          <w:iCs/>
        </w:rPr>
        <w:t>in substance</w:t>
      </w:r>
      <w:r w:rsidR="003017A0" w:rsidRPr="008C4038">
        <w:t xml:space="preserve">, clause 3(a) imposed </w:t>
      </w:r>
      <w:r w:rsidR="00152C9E" w:rsidRPr="008C4038">
        <w:t xml:space="preserve">a </w:t>
      </w:r>
      <w:r w:rsidR="00152C9E" w:rsidRPr="00DF053B">
        <w:rPr>
          <w:i/>
          <w:iCs/>
        </w:rPr>
        <w:t>secondary</w:t>
      </w:r>
      <w:r w:rsidR="00152C9E" w:rsidRPr="008C4038">
        <w:t xml:space="preserve"> obligation on Leiman</w:t>
      </w:r>
      <w:r w:rsidR="004C1629">
        <w:t>,</w:t>
      </w:r>
      <w:r w:rsidR="004C1629" w:rsidRPr="004C1629">
        <w:t xml:space="preserve"> </w:t>
      </w:r>
      <w:r w:rsidR="004C1629">
        <w:t>which</w:t>
      </w:r>
      <w:r w:rsidR="004C1629" w:rsidRPr="008C4038">
        <w:t xml:space="preserve"> engag</w:t>
      </w:r>
      <w:r w:rsidR="004C1629">
        <w:t>ed</w:t>
      </w:r>
      <w:r w:rsidR="004C1629" w:rsidRPr="008C4038">
        <w:t xml:space="preserve"> the rule against penalty </w:t>
      </w:r>
      <w:r w:rsidR="004C1629">
        <w:t>clauses</w:t>
      </w:r>
      <w:r w:rsidR="00152C9E">
        <w:t>.</w:t>
      </w:r>
      <w:r w:rsidR="009845E1">
        <w:rPr>
          <w:iCs/>
        </w:rPr>
        <w:t xml:space="preserve"> </w:t>
      </w:r>
    </w:p>
    <w:p w14:paraId="327402E2" w14:textId="77777777" w:rsidR="003F4481" w:rsidRDefault="003F4481" w:rsidP="00E837EF">
      <w:pPr>
        <w:pStyle w:val="Heading4"/>
      </w:pPr>
    </w:p>
    <w:p w14:paraId="59595292" w14:textId="6AE823FE" w:rsidR="00AC455A" w:rsidRDefault="003F4481" w:rsidP="00E837EF">
      <w:pPr>
        <w:pStyle w:val="Heading4"/>
      </w:pPr>
      <w:r>
        <w:rPr>
          <w:i/>
        </w:rPr>
        <w:t xml:space="preserve">First, </w:t>
      </w:r>
      <w:r>
        <w:rPr>
          <w:iCs/>
        </w:rPr>
        <w:t>t</w:t>
      </w:r>
      <w:r w:rsidR="00152C9E" w:rsidRPr="009845E1">
        <w:rPr>
          <w:iCs/>
        </w:rPr>
        <w:t>he</w:t>
      </w:r>
      <w:r w:rsidR="00152C9E">
        <w:t xml:space="preserve"> rights provided under</w:t>
      </w:r>
      <w:r w:rsidR="009845E1">
        <w:t xml:space="preserve"> </w:t>
      </w:r>
      <w:r w:rsidR="007014E0">
        <w:t>clauses 3(b)</w:t>
      </w:r>
      <w:r w:rsidR="00EE1D4A">
        <w:t xml:space="preserve"> (</w:t>
      </w:r>
      <w:r w:rsidR="00565727">
        <w:t>regarding</w:t>
      </w:r>
      <w:r w:rsidR="007014E0">
        <w:t xml:space="preserve"> the advisory agreement</w:t>
      </w:r>
      <w:r w:rsidR="00EE1D4A">
        <w:t>)</w:t>
      </w:r>
      <w:r w:rsidR="007014E0">
        <w:t xml:space="preserve"> and 3(e)</w:t>
      </w:r>
      <w:r w:rsidR="00EE1D4A">
        <w:t xml:space="preserve"> (</w:t>
      </w:r>
      <w:r w:rsidR="00565727">
        <w:t xml:space="preserve">regarding </w:t>
      </w:r>
      <w:r w:rsidR="007014E0">
        <w:t xml:space="preserve">his </w:t>
      </w:r>
      <w:r w:rsidR="007420D6">
        <w:t>entitlement to the 2011 Bonus</w:t>
      </w:r>
      <w:r w:rsidR="00EE1D4A">
        <w:t>)</w:t>
      </w:r>
      <w:r w:rsidR="007014E0">
        <w:t xml:space="preserve"> were based on considerations independent of Leiman’s continued compliance with his non-competition and confidentiality obligations under the Employment Agreement and the Settlement Agreement.</w:t>
      </w:r>
      <w:r w:rsidR="00152C9E">
        <w:t xml:space="preserve"> </w:t>
      </w:r>
      <w:r w:rsidR="007014E0">
        <w:t>I</w:t>
      </w:r>
      <w:r w:rsidR="007014E0" w:rsidRPr="008C4038">
        <w:t xml:space="preserve">t </w:t>
      </w:r>
      <w:r w:rsidR="007014E0">
        <w:t>is</w:t>
      </w:r>
      <w:r w:rsidR="007014E0" w:rsidRPr="008C4038">
        <w:t xml:space="preserve"> not clear what independent commercial purpose </w:t>
      </w:r>
      <w:r w:rsidR="007014E0">
        <w:t xml:space="preserve">would be served by </w:t>
      </w:r>
      <w:r w:rsidR="007014E0" w:rsidRPr="007014E0">
        <w:t>requiring Leiman to continue to comply with his contractual non-competition and confidentiality obligations in order to be entitled to these rights.</w:t>
      </w:r>
      <w:r>
        <w:t xml:space="preserve"> </w:t>
      </w:r>
      <w:r w:rsidRPr="00DF053B">
        <w:rPr>
          <w:i/>
          <w:iCs/>
        </w:rPr>
        <w:t>Second</w:t>
      </w:r>
      <w:r w:rsidR="00623105" w:rsidRPr="008F315F">
        <w:t>,</w:t>
      </w:r>
      <w:r w:rsidR="008F315F">
        <w:t xml:space="preserve"> </w:t>
      </w:r>
      <w:r w:rsidR="00623105">
        <w:t>w</w:t>
      </w:r>
      <w:r w:rsidR="009E0068">
        <w:t>hile it wa</w:t>
      </w:r>
      <w:r w:rsidR="009E0068" w:rsidRPr="009E0068">
        <w:t xml:space="preserve">s possible to discern that </w:t>
      </w:r>
      <w:r w:rsidR="009E0068">
        <w:t>Noble</w:t>
      </w:r>
      <w:r w:rsidR="009E0068" w:rsidRPr="009E0068">
        <w:t xml:space="preserve"> had an independent commercial purpose in extracting from Leiman an agreement to subject his rights under cl</w:t>
      </w:r>
      <w:r w:rsidR="009E0068">
        <w:t>auses</w:t>
      </w:r>
      <w:r w:rsidR="009E0068" w:rsidRPr="009E0068">
        <w:t xml:space="preserve"> 3(c)</w:t>
      </w:r>
      <w:r w:rsidR="00B61A9B">
        <w:t xml:space="preserve"> (</w:t>
      </w:r>
      <w:r w:rsidR="009E0068">
        <w:t>with regard to the Share Options</w:t>
      </w:r>
      <w:r w:rsidR="00B61A9B">
        <w:t>)</w:t>
      </w:r>
      <w:r w:rsidR="009E0068" w:rsidRPr="009E0068">
        <w:t xml:space="preserve"> and 3(d)</w:t>
      </w:r>
      <w:r w:rsidR="00B61A9B">
        <w:t xml:space="preserve"> (</w:t>
      </w:r>
      <w:r w:rsidR="009E0068">
        <w:t>with regard to the Shares</w:t>
      </w:r>
      <w:r w:rsidR="00B61A9B">
        <w:t>)</w:t>
      </w:r>
      <w:r w:rsidR="009E0068" w:rsidRPr="009E0068">
        <w:t xml:space="preserve"> to his being a “good leaver” after his resignation</w:t>
      </w:r>
      <w:r w:rsidR="009E0068">
        <w:t xml:space="preserve">, </w:t>
      </w:r>
      <w:r w:rsidR="00E85491">
        <w:t>t</w:t>
      </w:r>
      <w:r w:rsidR="00E85491" w:rsidRPr="00E85491">
        <w:t xml:space="preserve">he parties </w:t>
      </w:r>
      <w:r w:rsidR="00662016">
        <w:t xml:space="preserve">had </w:t>
      </w:r>
      <w:r w:rsidR="00E85491">
        <w:t xml:space="preserve">already </w:t>
      </w:r>
      <w:r w:rsidR="00E85491" w:rsidRPr="00E85491">
        <w:t>specifically provided for a “good leaver” condition under cl</w:t>
      </w:r>
      <w:r w:rsidR="00E85491">
        <w:t xml:space="preserve">auses </w:t>
      </w:r>
      <w:r w:rsidR="00E85491" w:rsidRPr="00E85491">
        <w:t xml:space="preserve">3(c) and 3(d). </w:t>
      </w:r>
      <w:r w:rsidR="00E85491">
        <w:t>As such,</w:t>
      </w:r>
      <w:r w:rsidR="00E85491" w:rsidRPr="00E85491">
        <w:t xml:space="preserve"> cl</w:t>
      </w:r>
      <w:r w:rsidR="00E85491">
        <w:t>ause</w:t>
      </w:r>
      <w:r w:rsidR="00E85491" w:rsidRPr="00E85491">
        <w:t xml:space="preserve"> 3(a) imposed an </w:t>
      </w:r>
      <w:r w:rsidR="00E85491" w:rsidRPr="00DF053B">
        <w:rPr>
          <w:i/>
          <w:iCs/>
        </w:rPr>
        <w:t>additional</w:t>
      </w:r>
      <w:r w:rsidR="00E85491" w:rsidRPr="00E85491">
        <w:t xml:space="preserve"> hurdle on Leiman</w:t>
      </w:r>
      <w:r w:rsidR="00783B28">
        <w:t>,</w:t>
      </w:r>
      <w:r w:rsidR="00E85491" w:rsidRPr="00E85491">
        <w:t xml:space="preserve"> by subjecting his rights to these Share Options and Shares to the additional condition that he not breach his contractual obligations of non-competition and confidentiality. </w:t>
      </w:r>
      <w:r w:rsidR="0082628A">
        <w:t xml:space="preserve">The CA concluded that in substance, </w:t>
      </w:r>
      <w:r w:rsidR="00E85491" w:rsidRPr="00E85491">
        <w:t>cl</w:t>
      </w:r>
      <w:r w:rsidR="00E85491">
        <w:t>ause</w:t>
      </w:r>
      <w:r w:rsidR="00E85491" w:rsidRPr="00E85491">
        <w:t xml:space="preserve"> 3(a) was included in the Settlement Agreement </w:t>
      </w:r>
      <w:r w:rsidR="00E85491" w:rsidRPr="002C7E66">
        <w:rPr>
          <w:i/>
          <w:iCs/>
        </w:rPr>
        <w:t>in terrorem</w:t>
      </w:r>
      <w:r w:rsidR="00E85491" w:rsidRPr="00E85491">
        <w:t xml:space="preserve"> with regard to Leiman</w:t>
      </w:r>
      <w:r w:rsidR="00FA5FC4">
        <w:t>,</w:t>
      </w:r>
      <w:r w:rsidR="00E85491" w:rsidRPr="00E85491">
        <w:t xml:space="preserve"> and any thought he might have had of breaching his contractual non-competition and confidentiality obligations. </w:t>
      </w:r>
    </w:p>
    <w:p w14:paraId="1CF41324" w14:textId="77777777" w:rsidR="00E603C8" w:rsidRPr="008C4038" w:rsidRDefault="00E603C8" w:rsidP="00E837EF">
      <w:pPr>
        <w:pStyle w:val="Heading4"/>
      </w:pPr>
    </w:p>
    <w:p w14:paraId="2962EF31" w14:textId="378637EC" w:rsidR="003017A0" w:rsidRDefault="00555A04" w:rsidP="00E837EF">
      <w:pPr>
        <w:pStyle w:val="Heading4"/>
      </w:pPr>
      <w:r>
        <w:t xml:space="preserve">As a secondary obligation, </w:t>
      </w:r>
      <w:r w:rsidR="003017A0" w:rsidRPr="008C4038">
        <w:t xml:space="preserve">clause 3(a) </w:t>
      </w:r>
      <w:r w:rsidR="003837FE">
        <w:t>was</w:t>
      </w:r>
      <w:r w:rsidR="003017A0" w:rsidRPr="008C4038">
        <w:t xml:space="preserve"> an unenforceable penalty clause</w:t>
      </w:r>
      <w:r w:rsidR="00426481">
        <w:t>,</w:t>
      </w:r>
      <w:r w:rsidR="003017A0" w:rsidRPr="008C4038">
        <w:t xml:space="preserve"> regardless of </w:t>
      </w:r>
      <w:r w:rsidR="00426481">
        <w:t xml:space="preserve">whether the </w:t>
      </w:r>
      <w:r w:rsidR="00B11F25">
        <w:rPr>
          <w:i/>
          <w:iCs/>
        </w:rPr>
        <w:t xml:space="preserve">Dunlop </w:t>
      </w:r>
      <w:r w:rsidR="00426481">
        <w:t xml:space="preserve">test </w:t>
      </w:r>
      <w:r w:rsidR="003017A0" w:rsidRPr="008C4038">
        <w:t>or</w:t>
      </w:r>
      <w:r w:rsidR="00426481">
        <w:t xml:space="preserve"> the</w:t>
      </w:r>
      <w:r w:rsidR="003017A0" w:rsidRPr="008C4038">
        <w:t xml:space="preserve"> </w:t>
      </w:r>
      <w:r w:rsidR="00B11F25">
        <w:rPr>
          <w:i/>
          <w:iCs/>
        </w:rPr>
        <w:t>Cavendish</w:t>
      </w:r>
      <w:r w:rsidR="00426481">
        <w:t xml:space="preserve"> test</w:t>
      </w:r>
      <w:r w:rsidR="003017A0" w:rsidRPr="008C4038">
        <w:t xml:space="preserve"> </w:t>
      </w:r>
      <w:r w:rsidR="00426481">
        <w:t>wa</w:t>
      </w:r>
      <w:r w:rsidR="003017A0" w:rsidRPr="008C4038">
        <w:t xml:space="preserve">s applied. </w:t>
      </w:r>
      <w:r w:rsidR="00325474">
        <w:t>I</w:t>
      </w:r>
      <w:r w:rsidR="00325474" w:rsidRPr="00325474">
        <w:t xml:space="preserve">t </w:t>
      </w:r>
      <w:r w:rsidR="00325474">
        <w:t>was</w:t>
      </w:r>
      <w:r w:rsidR="00325474" w:rsidRPr="00325474">
        <w:t xml:space="preserve"> not a genuine pre-estimate of damages </w:t>
      </w:r>
      <w:r w:rsidR="00325474">
        <w:t>under the former test</w:t>
      </w:r>
      <w:r w:rsidR="00325474" w:rsidRPr="00325474">
        <w:t xml:space="preserve">, </w:t>
      </w:r>
      <w:r w:rsidR="00325474">
        <w:t>since it d</w:t>
      </w:r>
      <w:r w:rsidR="00325474" w:rsidRPr="00325474">
        <w:t>isentitle</w:t>
      </w:r>
      <w:r w:rsidR="00325474">
        <w:t>d</w:t>
      </w:r>
      <w:r w:rsidR="00325474" w:rsidRPr="00325474">
        <w:t xml:space="preserve"> Leiman from receiving fixed benefits under </w:t>
      </w:r>
      <w:r w:rsidR="00325474">
        <w:t>clause 3,</w:t>
      </w:r>
      <w:r w:rsidR="00325474" w:rsidRPr="00325474">
        <w:t xml:space="preserve"> regardless of the nature and extent of his breach of his contractual non-competition and confidentiality obligations.</w:t>
      </w:r>
      <w:r w:rsidR="00335EA4">
        <w:t xml:space="preserve"> </w:t>
      </w:r>
      <w:r w:rsidR="00335EA4" w:rsidRPr="00335EA4">
        <w:t xml:space="preserve">Clause 3(a) would also fail the </w:t>
      </w:r>
      <w:r w:rsidR="00335EA4" w:rsidRPr="00335EA4">
        <w:rPr>
          <w:i/>
          <w:iCs/>
        </w:rPr>
        <w:t>Cavendish</w:t>
      </w:r>
      <w:r w:rsidR="00335EA4" w:rsidRPr="00335EA4">
        <w:t xml:space="preserve"> test, </w:t>
      </w:r>
      <w:r w:rsidR="00335EA4">
        <w:t xml:space="preserve">as </w:t>
      </w:r>
      <w:r w:rsidR="00335EA4" w:rsidRPr="00335EA4">
        <w:t xml:space="preserve">it </w:t>
      </w:r>
      <w:r w:rsidR="00335EA4">
        <w:t>wa</w:t>
      </w:r>
      <w:r w:rsidR="00335EA4" w:rsidRPr="00335EA4">
        <w:t xml:space="preserve">s unclear what legitimate interest </w:t>
      </w:r>
      <w:r w:rsidR="00335EA4">
        <w:t>Noble</w:t>
      </w:r>
      <w:r w:rsidR="00335EA4" w:rsidRPr="00335EA4">
        <w:t xml:space="preserve"> could have had in upholding this clause, beyond punishing Leiman if h</w:t>
      </w:r>
      <w:r w:rsidR="00376188">
        <w:t>e</w:t>
      </w:r>
      <w:r w:rsidR="00335EA4" w:rsidRPr="00335EA4">
        <w:t xml:space="preserve"> breach</w:t>
      </w:r>
      <w:r w:rsidR="00376188">
        <w:t>ed</w:t>
      </w:r>
      <w:r w:rsidR="00335EA4" w:rsidRPr="00335EA4">
        <w:t xml:space="preserve"> his obligations of non-competition and confidentiality.</w:t>
      </w:r>
    </w:p>
    <w:p w14:paraId="613FFE06" w14:textId="6E61DF63" w:rsidR="00D53B49" w:rsidRPr="008C4038" w:rsidRDefault="00D53B49" w:rsidP="00E837EF">
      <w:pPr>
        <w:pStyle w:val="Heading4"/>
      </w:pPr>
    </w:p>
    <w:p w14:paraId="159C51AF" w14:textId="27232D9B" w:rsidR="003017A0" w:rsidRDefault="00555A04" w:rsidP="00E837EF">
      <w:pPr>
        <w:pStyle w:val="Heading4"/>
      </w:pPr>
      <w:r>
        <w:rPr>
          <w:u w:val="single"/>
        </w:rPr>
        <w:t>Clauses 3(c) and 3(d)</w:t>
      </w:r>
      <w:r w:rsidRPr="00480739">
        <w:t>.</w:t>
      </w:r>
      <w:r>
        <w:t xml:space="preserve"> </w:t>
      </w:r>
      <w:r w:rsidR="00AC10D7">
        <w:t xml:space="preserve">However, the CA held that </w:t>
      </w:r>
      <w:r w:rsidR="003017A0" w:rsidRPr="008C4038">
        <w:t>clause</w:t>
      </w:r>
      <w:r w:rsidR="005A68C1">
        <w:t>s</w:t>
      </w:r>
      <w:r w:rsidR="003017A0" w:rsidRPr="008C4038">
        <w:t xml:space="preserve"> 3(c)</w:t>
      </w:r>
      <w:r w:rsidR="00AC10D7">
        <w:t xml:space="preserve"> </w:t>
      </w:r>
      <w:r w:rsidR="005A68C1">
        <w:t>and 3(d) were</w:t>
      </w:r>
      <w:r w:rsidR="00AC10D7">
        <w:t xml:space="preserve"> not penalty clause</w:t>
      </w:r>
      <w:r w:rsidR="005A68C1">
        <w:t>s</w:t>
      </w:r>
      <w:r w:rsidR="00AC10D7">
        <w:t>.</w:t>
      </w:r>
      <w:r w:rsidR="002B57ED">
        <w:t xml:space="preserve"> As</w:t>
      </w:r>
      <w:r w:rsidR="002B57ED" w:rsidRPr="002B57ED">
        <w:t xml:space="preserve"> a result of cl</w:t>
      </w:r>
      <w:r w:rsidR="002B57ED">
        <w:t>ause</w:t>
      </w:r>
      <w:r w:rsidR="002B57ED" w:rsidRPr="002B57ED">
        <w:t xml:space="preserve"> 3(c), Leiman gave up his unqualified ability to exercise some vested rights</w:t>
      </w:r>
      <w:r w:rsidR="002B57ED">
        <w:t>,</w:t>
      </w:r>
      <w:r w:rsidR="002B57ED" w:rsidRPr="002B57ED">
        <w:t xml:space="preserve"> in return for an extension of time </w:t>
      </w:r>
      <w:r w:rsidR="001A58F9">
        <w:t xml:space="preserve">to </w:t>
      </w:r>
      <w:r w:rsidR="002B57ED" w:rsidRPr="002B57ED">
        <w:t>exercise those rights and the grant of more rights that he would not otherwise have been entitled to.</w:t>
      </w:r>
      <w:r w:rsidR="003017A0" w:rsidRPr="008C4038">
        <w:t xml:space="preserve"> </w:t>
      </w:r>
      <w:r w:rsidR="002B5662">
        <w:t>The</w:t>
      </w:r>
      <w:r w:rsidR="002B5662" w:rsidRPr="002B5662">
        <w:t xml:space="preserve"> consummation of those enhanced rights was subject to the condition </w:t>
      </w:r>
      <w:r w:rsidR="00CF0D85">
        <w:t>that he not act to Noble’s detriment</w:t>
      </w:r>
      <w:r w:rsidR="002B5662" w:rsidRPr="002B5662">
        <w:t xml:space="preserve">. </w:t>
      </w:r>
      <w:r w:rsidR="00E02A2A" w:rsidRPr="008C4038">
        <w:t xml:space="preserve">This was a condition mutually arrived at by the parties. </w:t>
      </w:r>
      <w:r w:rsidR="00686F59">
        <w:t xml:space="preserve">In short, </w:t>
      </w:r>
      <w:r w:rsidR="00686F59" w:rsidRPr="00686F59">
        <w:t>the parties agreed to cl</w:t>
      </w:r>
      <w:r w:rsidR="00686F59">
        <w:t>ause</w:t>
      </w:r>
      <w:r w:rsidR="00686F59" w:rsidRPr="00686F59">
        <w:t xml:space="preserve"> 3(c) as part of their primary obligations</w:t>
      </w:r>
      <w:r w:rsidR="00686F59">
        <w:t>,</w:t>
      </w:r>
      <w:r w:rsidR="00686F59" w:rsidRPr="00686F59">
        <w:t xml:space="preserve"> so that Leiman could exchange one set of entitlements for another in return for being a “good leaver”.</w:t>
      </w:r>
      <w:r w:rsidR="00F013F4">
        <w:t xml:space="preserve"> </w:t>
      </w:r>
      <w:r w:rsidR="0050506C">
        <w:t xml:space="preserve">Moreover, this did not impose on Leiman any </w:t>
      </w:r>
      <w:r w:rsidR="0050506C" w:rsidRPr="0050506C">
        <w:t>secondary obligation</w:t>
      </w:r>
      <w:r w:rsidR="0050506C">
        <w:t xml:space="preserve"> </w:t>
      </w:r>
      <w:r w:rsidR="0050506C" w:rsidRPr="0050506C">
        <w:t>to pay damages to or compensate Noble for any breach of his contractual obligations.</w:t>
      </w:r>
      <w:r w:rsidR="003F1A43">
        <w:t xml:space="preserve"> Clause 3(d) similar</w:t>
      </w:r>
      <w:r w:rsidR="00396710">
        <w:t>ly</w:t>
      </w:r>
      <w:r w:rsidR="003F1A43">
        <w:t xml:space="preserve"> </w:t>
      </w:r>
      <w:r w:rsidR="003F1A43" w:rsidRPr="003F1A43">
        <w:t xml:space="preserve">set out a fresh primary obligation on </w:t>
      </w:r>
      <w:r w:rsidR="003F1A43">
        <w:t>Noble</w:t>
      </w:r>
      <w:r w:rsidR="003F1A43" w:rsidRPr="003F1A43">
        <w:t xml:space="preserve"> to vest the Shares in Leiman on the condition that he not act to Noble’s detriment, as determined by the R&amp;O Committee in the event of a dispute. </w:t>
      </w:r>
      <w:r w:rsidR="00A74AC2">
        <w:t>As such, clauses 3(c) and 3(d) superseded the original terms of the grant of the Share Options</w:t>
      </w:r>
      <w:r w:rsidR="00AC5B56">
        <w:t xml:space="preserve"> </w:t>
      </w:r>
      <w:r w:rsidR="00A74AC2">
        <w:t>and the Shares, as part of a fresh bargain that Leiman struck with Noble</w:t>
      </w:r>
      <w:r w:rsidR="00112A1A">
        <w:t>,</w:t>
      </w:r>
      <w:r w:rsidR="00643B8C">
        <w:t xml:space="preserve"> and </w:t>
      </w:r>
      <w:r w:rsidR="00A74AC2">
        <w:t>imposed fresh primary obligation</w:t>
      </w:r>
      <w:r w:rsidR="00396710">
        <w:t>s</w:t>
      </w:r>
      <w:r w:rsidR="00A74AC2">
        <w:t xml:space="preserve"> on Noble to honour Leiman’s enhanced rights in respect of the Share Options and the Shares</w:t>
      </w:r>
      <w:r w:rsidR="00643B8C">
        <w:t>.</w:t>
      </w:r>
      <w:r w:rsidR="00A74AC2">
        <w:t xml:space="preserve"> </w:t>
      </w:r>
    </w:p>
    <w:p w14:paraId="14F1E3C2" w14:textId="77777777" w:rsidR="00D53B49" w:rsidRPr="008C4038" w:rsidRDefault="00D53B49" w:rsidP="00E837EF">
      <w:pPr>
        <w:pStyle w:val="Heading4"/>
      </w:pPr>
    </w:p>
    <w:p w14:paraId="0A79B14D" w14:textId="3AA81592" w:rsidR="00A00C30" w:rsidRPr="008C4038" w:rsidRDefault="00A00C30" w:rsidP="006910BD">
      <w:pPr>
        <w:pStyle w:val="Heading2"/>
        <w:widowControl w:val="0"/>
        <w:spacing w:line="240" w:lineRule="auto"/>
      </w:pPr>
      <w:r w:rsidRPr="008C4038">
        <w:t xml:space="preserve">The validity of the R&amp;O Committee’s decisions under clauses 3(c) and 3(d) </w:t>
      </w:r>
    </w:p>
    <w:p w14:paraId="0BD53E7F" w14:textId="0B995835" w:rsidR="00A00C30" w:rsidRDefault="00A00C30" w:rsidP="00E837EF">
      <w:pPr>
        <w:pStyle w:val="Heading4"/>
      </w:pPr>
      <w:r w:rsidRPr="008C4038">
        <w:t xml:space="preserve">As the </w:t>
      </w:r>
      <w:r w:rsidR="002519A2">
        <w:t>CA</w:t>
      </w:r>
      <w:r w:rsidR="002519A2" w:rsidRPr="008C4038">
        <w:t xml:space="preserve"> </w:t>
      </w:r>
      <w:r w:rsidRPr="008C4038">
        <w:t xml:space="preserve">found that clause 3(a) was an unenforceable penalty clause, </w:t>
      </w:r>
      <w:r w:rsidR="002519A2">
        <w:t xml:space="preserve">Noble could </w:t>
      </w:r>
      <w:r w:rsidRPr="008C4038">
        <w:t>not deny Leiman his rights under clause 3 of the Settlement Agreement, even if he had breached th</w:t>
      </w:r>
      <w:r w:rsidR="00182CF6">
        <w:t>ose</w:t>
      </w:r>
      <w:r w:rsidRPr="008C4038">
        <w:t xml:space="preserve"> obligations. </w:t>
      </w:r>
      <w:r w:rsidRPr="008C4038">
        <w:lastRenderedPageBreak/>
        <w:t xml:space="preserve">However, the respondents </w:t>
      </w:r>
      <w:r w:rsidRPr="00E154CB">
        <w:rPr>
          <w:i/>
          <w:iCs/>
        </w:rPr>
        <w:t>could still deny</w:t>
      </w:r>
      <w:r w:rsidRPr="008C4038">
        <w:t xml:space="preserve"> </w:t>
      </w:r>
      <w:r w:rsidR="00182CF6">
        <w:t>him</w:t>
      </w:r>
      <w:r w:rsidRPr="008C4038">
        <w:t xml:space="preserve"> those rights if the R&amp;O Committee validly determined under clauses 3(c) and 3(d) that </w:t>
      </w:r>
      <w:r w:rsidR="00C57DFB">
        <w:t>he</w:t>
      </w:r>
      <w:r w:rsidRPr="008C4038">
        <w:t xml:space="preserve"> had acted to </w:t>
      </w:r>
      <w:r w:rsidR="00892C4E">
        <w:t>Noble’s</w:t>
      </w:r>
      <w:r w:rsidR="00892C4E" w:rsidRPr="008C4038">
        <w:t xml:space="preserve"> </w:t>
      </w:r>
      <w:r w:rsidRPr="008C4038">
        <w:t xml:space="preserve">detriment.  </w:t>
      </w:r>
    </w:p>
    <w:p w14:paraId="1331CAE1" w14:textId="77777777" w:rsidR="00D53B49" w:rsidRPr="008C4038" w:rsidRDefault="00D53B49" w:rsidP="00E837EF">
      <w:pPr>
        <w:pStyle w:val="Heading4"/>
      </w:pPr>
    </w:p>
    <w:p w14:paraId="5FA54049" w14:textId="42D784A9" w:rsidR="00B23FEF" w:rsidRDefault="00091C0C" w:rsidP="00E837EF">
      <w:pPr>
        <w:pStyle w:val="Heading4"/>
      </w:pPr>
      <w:r w:rsidRPr="008C4038">
        <w:t xml:space="preserve">In considering the validity of the R&amp;O Committee’s decisions, the </w:t>
      </w:r>
      <w:r w:rsidR="00E154CB">
        <w:t>CA</w:t>
      </w:r>
      <w:r w:rsidR="00E154CB" w:rsidRPr="008C4038">
        <w:t xml:space="preserve"> </w:t>
      </w:r>
      <w:r w:rsidRPr="008C4038">
        <w:t>first established that t</w:t>
      </w:r>
      <w:r w:rsidR="00CC2D02" w:rsidRPr="008C4038">
        <w:t>here is no general</w:t>
      </w:r>
      <w:r w:rsidRPr="008C4038">
        <w:t xml:space="preserve"> </w:t>
      </w:r>
      <w:r w:rsidR="00CC2D02" w:rsidRPr="008C4038">
        <w:t>requirement that a party purporting to exercise a particular</w:t>
      </w:r>
      <w:r w:rsidRPr="008C4038">
        <w:t xml:space="preserve"> </w:t>
      </w:r>
      <w:r w:rsidR="00CC2D02" w:rsidRPr="008C4038">
        <w:t>contractual right, or to act in a particular way that might be prejudicial to the</w:t>
      </w:r>
      <w:r w:rsidRPr="008C4038">
        <w:t xml:space="preserve"> </w:t>
      </w:r>
      <w:r w:rsidR="00CC2D02" w:rsidRPr="008C4038">
        <w:t>other party, has a general duty to act fairly</w:t>
      </w:r>
      <w:r w:rsidR="00721C14">
        <w:t>. There is</w:t>
      </w:r>
      <w:r w:rsidR="00CC2D02" w:rsidRPr="008C4038">
        <w:t xml:space="preserve"> </w:t>
      </w:r>
      <w:r w:rsidR="00721C14">
        <w:t xml:space="preserve">also no </w:t>
      </w:r>
      <w:r w:rsidR="00CC2D02" w:rsidRPr="008C4038">
        <w:t>specific duty to observe</w:t>
      </w:r>
      <w:r w:rsidRPr="008C4038">
        <w:t xml:space="preserve"> </w:t>
      </w:r>
      <w:r w:rsidR="00CC2D02" w:rsidRPr="008C4038">
        <w:t xml:space="preserve">any particular requirements of natural justice. </w:t>
      </w:r>
      <w:r w:rsidR="002F66B9" w:rsidRPr="002F66B9">
        <w:t>Contracting parties are generally entitled to act in their own interests. If, in doing so, it should turn out that a party has breached its contractual obligations, then it may be liable in damages.</w:t>
      </w:r>
    </w:p>
    <w:p w14:paraId="6C3DE3EC" w14:textId="77777777" w:rsidR="00D53B49" w:rsidRPr="008C4038" w:rsidRDefault="00D53B49" w:rsidP="00E837EF">
      <w:pPr>
        <w:pStyle w:val="Heading4"/>
      </w:pPr>
    </w:p>
    <w:p w14:paraId="24C2C21D" w14:textId="395D394E" w:rsidR="00D95724" w:rsidRDefault="00B23FEF" w:rsidP="00E837EF">
      <w:pPr>
        <w:pStyle w:val="Heading4"/>
      </w:pPr>
      <w:r w:rsidRPr="008C4038">
        <w:t>However, t</w:t>
      </w:r>
      <w:r w:rsidR="00CC2D02" w:rsidRPr="008C4038">
        <w:t>his general position may</w:t>
      </w:r>
      <w:r w:rsidRPr="008C4038">
        <w:t xml:space="preserve"> </w:t>
      </w:r>
      <w:r w:rsidR="00CC2D02" w:rsidRPr="008C4038">
        <w:t>be displaced by the terms that the</w:t>
      </w:r>
      <w:r w:rsidR="00EB0A6C" w:rsidRPr="008C4038">
        <w:t xml:space="preserve"> </w:t>
      </w:r>
      <w:r w:rsidR="00CC2D02" w:rsidRPr="008C4038">
        <w:t>parties have agreed on, whether expressly or impliedly</w:t>
      </w:r>
      <w:r w:rsidR="00EB0A6C" w:rsidRPr="008C4038">
        <w:t>.</w:t>
      </w:r>
      <w:r w:rsidRPr="008C4038">
        <w:t xml:space="preserve"> As such, a court’s assess</w:t>
      </w:r>
      <w:r w:rsidR="00A2113E">
        <w:t>ment of</w:t>
      </w:r>
      <w:r w:rsidRPr="008C4038">
        <w:t xml:space="preserve"> whether the exercise of a particular contractual right has been made subject to any duty of fairness or observance of any particular procedure is a contextual one that considers</w:t>
      </w:r>
      <w:r w:rsidR="00E47DF3">
        <w:t>:</w:t>
      </w:r>
      <w:r w:rsidRPr="008C4038">
        <w:t xml:space="preserve"> the particular contractual right in question</w:t>
      </w:r>
      <w:r w:rsidR="00A2113E">
        <w:t>, the language of the relevant provision, the consequences of any decision made under that provision, and what was contemplated procedurally</w:t>
      </w:r>
      <w:r w:rsidRPr="008C4038">
        <w:t>. In other words,</w:t>
      </w:r>
      <w:r w:rsidR="00D95724" w:rsidRPr="008C4038">
        <w:t xml:space="preserve"> a claim that any requirement of fairness has been breached is in actuality a claim in breach of contract, </w:t>
      </w:r>
      <w:r w:rsidRPr="008C4038">
        <w:t xml:space="preserve">and </w:t>
      </w:r>
      <w:r w:rsidR="00D95724" w:rsidRPr="008C4038">
        <w:t>the first port of call must always be the terms of the contract.</w:t>
      </w:r>
      <w:r w:rsidR="00B14AB1" w:rsidRPr="008C4038">
        <w:t xml:space="preserve"> </w:t>
      </w:r>
    </w:p>
    <w:p w14:paraId="046912F6" w14:textId="77777777" w:rsidR="00D53B49" w:rsidRPr="008C4038" w:rsidRDefault="00D53B49" w:rsidP="00E837EF">
      <w:pPr>
        <w:pStyle w:val="Heading4"/>
      </w:pPr>
    </w:p>
    <w:p w14:paraId="5F110909" w14:textId="69198BCA" w:rsidR="00973BBE" w:rsidRDefault="00502E9F" w:rsidP="00E837EF">
      <w:pPr>
        <w:pStyle w:val="Heading4"/>
      </w:pPr>
      <w:r>
        <w:t>With regard to</w:t>
      </w:r>
      <w:r w:rsidR="00B23FEF" w:rsidRPr="008C4038">
        <w:t xml:space="preserve"> clauses 3(c) and 3(d)</w:t>
      </w:r>
      <w:r>
        <w:t>, the CA</w:t>
      </w:r>
      <w:r w:rsidR="007D701D">
        <w:t xml:space="preserve"> </w:t>
      </w:r>
      <w:r w:rsidRPr="00DF053B">
        <w:rPr>
          <w:i/>
          <w:iCs/>
        </w:rPr>
        <w:t>first</w:t>
      </w:r>
      <w:r>
        <w:t xml:space="preserve"> </w:t>
      </w:r>
      <w:r w:rsidR="003F1E60">
        <w:t>found</w:t>
      </w:r>
      <w:r w:rsidR="00B23FEF" w:rsidRPr="008C4038">
        <w:t xml:space="preserve"> the R&amp;O Committee’s jurisdiction would only be triggered if Leiman had allegedly done something that amounted to acting “to the detriment of Noble”. </w:t>
      </w:r>
      <w:r w:rsidR="00B23FEF" w:rsidRPr="00DF053B">
        <w:rPr>
          <w:i/>
          <w:iCs/>
        </w:rPr>
        <w:t>Second</w:t>
      </w:r>
      <w:r w:rsidR="00B23FEF" w:rsidRPr="008C4038">
        <w:t xml:space="preserve">, </w:t>
      </w:r>
      <w:r w:rsidR="003F1E60">
        <w:t>t</w:t>
      </w:r>
      <w:r w:rsidR="00B23FEF" w:rsidRPr="008C4038">
        <w:t>he R&amp;O Committee was specifically designated to make a final determination</w:t>
      </w:r>
      <w:r w:rsidR="00973BBE" w:rsidRPr="008C4038">
        <w:t xml:space="preserve"> </w:t>
      </w:r>
      <w:r w:rsidR="00B23FEF" w:rsidRPr="008C4038">
        <w:t>on whether Leiman had acted to the detriment of Noble</w:t>
      </w:r>
      <w:r w:rsidR="00973BBE" w:rsidRPr="008C4038">
        <w:t xml:space="preserve"> “in the event of any dispute”</w:t>
      </w:r>
      <w:r w:rsidR="00B86B07">
        <w:t>, which was a very specific circumstance</w:t>
      </w:r>
      <w:r w:rsidR="00973BBE" w:rsidRPr="008C4038">
        <w:t>. Th</w:t>
      </w:r>
      <w:r w:rsidR="00706F1F">
        <w:t>at</w:t>
      </w:r>
      <w:r w:rsidR="003F1E60">
        <w:t xml:space="preserve"> phrase</w:t>
      </w:r>
      <w:r w:rsidR="00973BBE" w:rsidRPr="008C4038">
        <w:t xml:space="preserve"> </w:t>
      </w:r>
      <w:r w:rsidR="003F1E60">
        <w:t xml:space="preserve">meant that there had to be </w:t>
      </w:r>
      <w:r w:rsidR="00973BBE" w:rsidRPr="008C4038">
        <w:t>a contention that Leiman had acted to the detriment of Noble,</w:t>
      </w:r>
      <w:r w:rsidR="00BD2B27">
        <w:t xml:space="preserve"> and</w:t>
      </w:r>
      <w:r w:rsidR="00973BBE" w:rsidRPr="008C4038">
        <w:t xml:space="preserve"> such allegation had to be put to Leiman, so that he could decide whether he was going to dispute it. </w:t>
      </w:r>
      <w:r w:rsidR="00973BBE" w:rsidRPr="00DF053B">
        <w:rPr>
          <w:i/>
          <w:iCs/>
        </w:rPr>
        <w:t>Third</w:t>
      </w:r>
      <w:r w:rsidR="00973BBE" w:rsidRPr="008C4038">
        <w:t xml:space="preserve">, in the event of a dispute, the R&amp;O Committee’s determination as to whether Leiman had acted “to the detriment of Noble” would be final. </w:t>
      </w:r>
    </w:p>
    <w:p w14:paraId="50404C28" w14:textId="77777777" w:rsidR="00D53B49" w:rsidRPr="008C4038" w:rsidRDefault="00D53B49" w:rsidP="00E837EF">
      <w:pPr>
        <w:pStyle w:val="Heading4"/>
      </w:pPr>
    </w:p>
    <w:p w14:paraId="3CDEB829" w14:textId="04495B5C" w:rsidR="00704E9B" w:rsidRDefault="00782F48" w:rsidP="00E837EF">
      <w:pPr>
        <w:pStyle w:val="Heading4"/>
      </w:pPr>
      <w:r>
        <w:t>T</w:t>
      </w:r>
      <w:r w:rsidR="00973BBE" w:rsidRPr="008C4038">
        <w:t xml:space="preserve">he </w:t>
      </w:r>
      <w:r>
        <w:t>CA</w:t>
      </w:r>
      <w:r w:rsidR="00FB5710">
        <w:t xml:space="preserve"> thus</w:t>
      </w:r>
      <w:r w:rsidRPr="008C4038">
        <w:t xml:space="preserve"> </w:t>
      </w:r>
      <w:r w:rsidR="00973BBE" w:rsidRPr="008C4038">
        <w:t>found it implicit that Leiman had to be given notice of Noble’s allegations that he had acted to its detriment</w:t>
      </w:r>
      <w:r w:rsidR="0048769C">
        <w:t>,</w:t>
      </w:r>
      <w:r w:rsidR="00973BBE" w:rsidRPr="008C4038">
        <w:t xml:space="preserve"> and the basis for such allegations if necessary, before the R&amp;O Committee </w:t>
      </w:r>
      <w:r w:rsidR="0048769C">
        <w:t>could</w:t>
      </w:r>
      <w:r w:rsidR="0048769C" w:rsidRPr="008C4038">
        <w:t xml:space="preserve"> </w:t>
      </w:r>
      <w:r w:rsidR="00973BBE" w:rsidRPr="008C4038">
        <w:t xml:space="preserve">even </w:t>
      </w:r>
      <w:r w:rsidR="0048769C">
        <w:t xml:space="preserve">be </w:t>
      </w:r>
      <w:r w:rsidR="00973BBE" w:rsidRPr="008C4038">
        <w:t xml:space="preserve">activated to </w:t>
      </w:r>
      <w:r w:rsidR="0048769C">
        <w:t xml:space="preserve">make its </w:t>
      </w:r>
      <w:r w:rsidR="00973BBE" w:rsidRPr="008C4038">
        <w:t xml:space="preserve">determination. This was </w:t>
      </w:r>
      <w:r w:rsidR="00B40DE1" w:rsidRPr="008C4038">
        <w:t xml:space="preserve">because the R&amp;O Committee’s jurisdiction </w:t>
      </w:r>
      <w:r w:rsidR="00704E9B">
        <w:t>was</w:t>
      </w:r>
      <w:r w:rsidR="00704E9B" w:rsidRPr="008C4038">
        <w:t xml:space="preserve"> </w:t>
      </w:r>
      <w:r w:rsidR="00B40DE1" w:rsidRPr="008C4038">
        <w:t xml:space="preserve">engaged only when there </w:t>
      </w:r>
      <w:r w:rsidR="00704E9B">
        <w:t>was</w:t>
      </w:r>
      <w:r w:rsidR="00704E9B" w:rsidRPr="008C4038">
        <w:t xml:space="preserve"> </w:t>
      </w:r>
      <w:r w:rsidR="00B40DE1" w:rsidRPr="008C4038">
        <w:t xml:space="preserve">a </w:t>
      </w:r>
      <w:r w:rsidR="00B40DE1" w:rsidRPr="008C4038">
        <w:rPr>
          <w:i/>
          <w:iCs/>
        </w:rPr>
        <w:t>dispute</w:t>
      </w:r>
      <w:r w:rsidR="00B40DE1" w:rsidRPr="008C4038">
        <w:t xml:space="preserve">. </w:t>
      </w:r>
      <w:r w:rsidR="00704E9B">
        <w:t xml:space="preserve">For there to be a dispute, </w:t>
      </w:r>
      <w:r w:rsidR="00B40DE1" w:rsidRPr="008C4038">
        <w:t xml:space="preserve">Leiman </w:t>
      </w:r>
      <w:r w:rsidR="00704E9B">
        <w:t xml:space="preserve">would have </w:t>
      </w:r>
      <w:r w:rsidR="00B40DE1" w:rsidRPr="008C4038">
        <w:t xml:space="preserve">to be informed of the basis of allegations to decide whether </w:t>
      </w:r>
      <w:r w:rsidR="00704E9B">
        <w:t>he wanted to</w:t>
      </w:r>
      <w:r w:rsidR="00704E9B" w:rsidRPr="008C4038">
        <w:t xml:space="preserve"> </w:t>
      </w:r>
      <w:r w:rsidR="00B40DE1" w:rsidRPr="008C4038">
        <w:t>dispute</w:t>
      </w:r>
      <w:r w:rsidR="00B40DE1" w:rsidRPr="008C4038">
        <w:rPr>
          <w:i/>
          <w:iCs/>
        </w:rPr>
        <w:t xml:space="preserve"> </w:t>
      </w:r>
      <w:r w:rsidR="00B40DE1" w:rsidRPr="008C4038">
        <w:t>the allegations</w:t>
      </w:r>
      <w:r w:rsidR="00704E9B">
        <w:t>. If so</w:t>
      </w:r>
      <w:r w:rsidR="00B40DE1" w:rsidRPr="008C4038">
        <w:t xml:space="preserve">, </w:t>
      </w:r>
      <w:r w:rsidR="00704E9B">
        <w:t xml:space="preserve">the R&amp;O Committee would then have to give Leiman </w:t>
      </w:r>
      <w:r w:rsidR="00B40DE1" w:rsidRPr="008C4038">
        <w:t>an opportunity to put forward his reasons for disputing the allegations</w:t>
      </w:r>
      <w:r w:rsidR="00495F05">
        <w:t xml:space="preserve"> before it could exercise its power to make a final determination as to whether Leiman had acted “to the detriment of Noble”</w:t>
      </w:r>
      <w:r w:rsidR="00B40DE1" w:rsidRPr="008C4038">
        <w:t>.</w:t>
      </w:r>
      <w:r w:rsidR="0049170A">
        <w:t xml:space="preserve"> </w:t>
      </w:r>
      <w:r w:rsidR="0049170A" w:rsidRPr="0049170A">
        <w:t xml:space="preserve">Beyond this, once Leiman was apprised of the allegations against him and if he chose to dispute them, </w:t>
      </w:r>
      <w:r w:rsidR="0049170A">
        <w:t>the</w:t>
      </w:r>
      <w:r w:rsidR="0049170A" w:rsidRPr="0049170A">
        <w:t xml:space="preserve"> R&amp;O Committee had to act fairly in making its final determination on whether he had acted to Noble’s detriment.</w:t>
      </w:r>
    </w:p>
    <w:p w14:paraId="5D0C14D2" w14:textId="40317D4F" w:rsidR="00973BBE" w:rsidRPr="008C4038" w:rsidRDefault="00973BBE" w:rsidP="00E837EF">
      <w:pPr>
        <w:pStyle w:val="Heading4"/>
      </w:pPr>
    </w:p>
    <w:p w14:paraId="40A94E95" w14:textId="5E9AD1CF" w:rsidR="00B40DE1" w:rsidRDefault="00B40DE1" w:rsidP="00E837EF">
      <w:pPr>
        <w:pStyle w:val="Heading4"/>
      </w:pPr>
      <w:r w:rsidRPr="008C4038">
        <w:t xml:space="preserve">These requirements were not complied with. </w:t>
      </w:r>
      <w:r w:rsidR="006B74CC">
        <w:t>The R&amp;O Committee did not make</w:t>
      </w:r>
      <w:r w:rsidRPr="008C4038">
        <w:t xml:space="preserve"> Leiman </w:t>
      </w:r>
      <w:r w:rsidR="006B74CC">
        <w:t>aware of the allegations against him or give him the opportunity</w:t>
      </w:r>
      <w:r w:rsidR="00565727">
        <w:t xml:space="preserve"> </w:t>
      </w:r>
      <w:r w:rsidR="006B74CC">
        <w:t>to decide whether he disputed them, and if so to respond to them.</w:t>
      </w:r>
      <w:r w:rsidR="00565727">
        <w:t xml:space="preserve"> </w:t>
      </w:r>
      <w:r w:rsidR="006B74CC">
        <w:t>Thus</w:t>
      </w:r>
      <w:r w:rsidR="00565727">
        <w:t>,</w:t>
      </w:r>
      <w:r w:rsidR="006B74CC">
        <w:t xml:space="preserve"> </w:t>
      </w:r>
      <w:r w:rsidR="00EF0264">
        <w:t>he</w:t>
      </w:r>
      <w:r w:rsidRPr="008C4038">
        <w:t xml:space="preserve"> was never in a position</w:t>
      </w:r>
      <w:r w:rsidR="004A0F52" w:rsidRPr="008C4038">
        <w:t xml:space="preserve"> </w:t>
      </w:r>
      <w:r w:rsidR="00EA03DA">
        <w:t xml:space="preserve">even </w:t>
      </w:r>
      <w:r w:rsidR="004A0F52" w:rsidRPr="008C4038">
        <w:t xml:space="preserve">to decide whether to dispute the allegations. Further, he was not given any opportunity to make representations to the Committee before it made its determination against him. There was therefore no valid “final” determination </w:t>
      </w:r>
      <w:r w:rsidR="00E83702">
        <w:t>under clauses</w:t>
      </w:r>
      <w:r w:rsidR="004A0F52" w:rsidRPr="008C4038">
        <w:t xml:space="preserve"> 3(c) and 3(d) of the Settlement Agreement.</w:t>
      </w:r>
      <w:r w:rsidR="0023531C">
        <w:t xml:space="preserve"> As such, the R&amp;O Committee’s determinations that Leiman had acted to Noble’s detriment were invalid</w:t>
      </w:r>
      <w:r w:rsidR="00E666EB">
        <w:t xml:space="preserve">, as were </w:t>
      </w:r>
      <w:r w:rsidR="009655A1">
        <w:t>i</w:t>
      </w:r>
      <w:r w:rsidR="00E666EB">
        <w:t xml:space="preserve">ts </w:t>
      </w:r>
      <w:r w:rsidR="00E666EB" w:rsidRPr="00E666EB">
        <w:t xml:space="preserve">subsequent refusal to allow </w:t>
      </w:r>
      <w:r w:rsidR="00372261">
        <w:t>him</w:t>
      </w:r>
      <w:r w:rsidR="00372261" w:rsidRPr="00E666EB">
        <w:t xml:space="preserve"> </w:t>
      </w:r>
      <w:r w:rsidR="00E666EB" w:rsidRPr="00E666EB">
        <w:t>to exercise his Share Options and receive the Shares on the basis of those determinations</w:t>
      </w:r>
      <w:r w:rsidR="00E666EB">
        <w:t>.</w:t>
      </w:r>
    </w:p>
    <w:p w14:paraId="6A08C449" w14:textId="77777777" w:rsidR="00D53B49" w:rsidRDefault="00D53B49" w:rsidP="00E837EF">
      <w:pPr>
        <w:pStyle w:val="Heading4"/>
      </w:pPr>
    </w:p>
    <w:p w14:paraId="1AE992FD" w14:textId="24B61479" w:rsidR="00991536" w:rsidRDefault="00555F4E" w:rsidP="006910BD">
      <w:pPr>
        <w:pStyle w:val="Heading2"/>
        <w:widowControl w:val="0"/>
        <w:spacing w:line="240" w:lineRule="auto"/>
      </w:pPr>
      <w:r>
        <w:t>Leiman’s other entitlements</w:t>
      </w:r>
      <w:r w:rsidR="003350A6">
        <w:t xml:space="preserve"> (2011 Bonus and the Additional Shares)</w:t>
      </w:r>
    </w:p>
    <w:p w14:paraId="36B9C3A4" w14:textId="7AFB5B29" w:rsidR="00555F4E" w:rsidRDefault="00555F4E" w:rsidP="00E837EF">
      <w:pPr>
        <w:pStyle w:val="Heading4"/>
      </w:pPr>
      <w:r>
        <w:t xml:space="preserve">The CA </w:t>
      </w:r>
      <w:r w:rsidR="003C2614">
        <w:t>agreed with</w:t>
      </w:r>
      <w:r>
        <w:t xml:space="preserve"> the </w:t>
      </w:r>
      <w:r w:rsidR="00C4765B">
        <w:t>HC</w:t>
      </w:r>
      <w:r>
        <w:t xml:space="preserve"> </w:t>
      </w:r>
      <w:r w:rsidR="00C4765B">
        <w:t xml:space="preserve">that </w:t>
      </w:r>
      <w:r w:rsidR="003C2614">
        <w:t>Leiman</w:t>
      </w:r>
      <w:r w:rsidR="00C4765B">
        <w:t xml:space="preserve"> was not entitled to the 2011 Bonus</w:t>
      </w:r>
      <w:r w:rsidR="00C54ED6">
        <w:t xml:space="preserve">. </w:t>
      </w:r>
      <w:r w:rsidR="00B8201E">
        <w:t>The evidence showed</w:t>
      </w:r>
      <w:r w:rsidR="005A0456">
        <w:t xml:space="preserve"> that </w:t>
      </w:r>
      <w:r w:rsidR="005A0456" w:rsidRPr="005A0456">
        <w:t>a general decision was taken that no bonus would be awarded to Noble’s top management</w:t>
      </w:r>
      <w:r w:rsidR="0054682A" w:rsidRPr="0054682A">
        <w:t xml:space="preserve"> </w:t>
      </w:r>
      <w:r w:rsidR="0054682A" w:rsidRPr="005A0456">
        <w:t xml:space="preserve">for </w:t>
      </w:r>
      <w:r w:rsidR="0054682A" w:rsidRPr="005A0456">
        <w:lastRenderedPageBreak/>
        <w:t>2011</w:t>
      </w:r>
      <w:r w:rsidR="003C2614">
        <w:t xml:space="preserve">, and </w:t>
      </w:r>
      <w:r w:rsidR="00405420">
        <w:t xml:space="preserve">also </w:t>
      </w:r>
      <w:r w:rsidR="003C2614">
        <w:t xml:space="preserve">that other members of Noble’s top management </w:t>
      </w:r>
      <w:r w:rsidR="005266CE">
        <w:t xml:space="preserve">indeed </w:t>
      </w:r>
      <w:r w:rsidR="003C2614">
        <w:t>did not receive bonuses for 2011</w:t>
      </w:r>
      <w:r>
        <w:t xml:space="preserve">. </w:t>
      </w:r>
    </w:p>
    <w:p w14:paraId="7638DD11" w14:textId="77777777" w:rsidR="00D53B49" w:rsidRDefault="00D53B49" w:rsidP="00E837EF">
      <w:pPr>
        <w:pStyle w:val="Heading4"/>
      </w:pPr>
    </w:p>
    <w:p w14:paraId="6C97A299" w14:textId="2B3983A4" w:rsidR="0027450C" w:rsidRDefault="000D6061" w:rsidP="00E837EF">
      <w:pPr>
        <w:pStyle w:val="Heading4"/>
      </w:pPr>
      <w:r>
        <w:t>However,</w:t>
      </w:r>
      <w:r w:rsidR="00555F4E">
        <w:t xml:space="preserve"> </w:t>
      </w:r>
      <w:r w:rsidR="00FB7AB6">
        <w:t xml:space="preserve">the CA held that the forfeiture of Leiman’s right to </w:t>
      </w:r>
      <w:r w:rsidR="00286FE1">
        <w:t>the Additional S</w:t>
      </w:r>
      <w:r w:rsidR="00FB7AB6">
        <w:t xml:space="preserve">hares was invalid. </w:t>
      </w:r>
      <w:r w:rsidR="005531F1">
        <w:t>These</w:t>
      </w:r>
      <w:r w:rsidR="0027450C">
        <w:t xml:space="preserve"> were excluded under clause 3(d) of the Settlement Agreement, and were governed by the AIP instead. Clause 5 of the AIP </w:t>
      </w:r>
      <w:r w:rsidR="003F5563">
        <w:t xml:space="preserve">stated </w:t>
      </w:r>
      <w:r w:rsidR="0027450C">
        <w:t>that the shares awarded to Leiman under the AIP would be forfeited if Leiman “act[ed] or engag[ed] in inimical or contrary to or against the interests of the Noble Group”. Such conduct included “any other conduct or act reasonably determined by the [R&amp;O] Committee to be injurious, detrimental or prejudicial to the interests of the Noble Group”.</w:t>
      </w:r>
    </w:p>
    <w:p w14:paraId="5BC42D2B" w14:textId="77777777" w:rsidR="0027450C" w:rsidRDefault="0027450C" w:rsidP="00E837EF">
      <w:pPr>
        <w:pStyle w:val="Heading4"/>
      </w:pPr>
    </w:p>
    <w:p w14:paraId="32E3609E" w14:textId="484DFC88" w:rsidR="00555F4E" w:rsidRDefault="0027450C" w:rsidP="00E837EF">
      <w:pPr>
        <w:pStyle w:val="Heading4"/>
      </w:pPr>
      <w:r>
        <w:t xml:space="preserve">Therefore, the question was whether there was a </w:t>
      </w:r>
      <w:r w:rsidRPr="0027450C">
        <w:t>“reasonabl[e] determin[ation]”</w:t>
      </w:r>
      <w:r>
        <w:t xml:space="preserve"> made by the R&amp;O Committee to deny Leiman the Additional Shares. </w:t>
      </w:r>
      <w:r w:rsidR="00A46C86">
        <w:t>The CA reiterated that</w:t>
      </w:r>
      <w:r w:rsidR="00555F4E">
        <w:t xml:space="preserve"> “detriment” assessed by the R&amp;O Committee under the AIP must refer to actual loss, damage and harm</w:t>
      </w:r>
      <w:r w:rsidR="00A46C86">
        <w:t>;</w:t>
      </w:r>
      <w:r w:rsidR="00555F4E">
        <w:t xml:space="preserve"> the same approach applie</w:t>
      </w:r>
      <w:r w:rsidR="00A46C86">
        <w:t>d</w:t>
      </w:r>
      <w:r w:rsidR="00555F4E">
        <w:t xml:space="preserve"> for the terms “injurious” and “prejudicial”. </w:t>
      </w:r>
      <w:r w:rsidR="00372261">
        <w:t>T</w:t>
      </w:r>
      <w:r w:rsidR="00555F4E">
        <w:t>here was no basis for the Committee’s determination under clause 5 of the AIP to be sustained as a “reasonabl[e] deter</w:t>
      </w:r>
      <w:r w:rsidR="009E255E">
        <w:t>m</w:t>
      </w:r>
      <w:r w:rsidR="00555F4E">
        <w:t>in[ation]” of injury, prejudice, or detriment</w:t>
      </w:r>
      <w:r w:rsidR="00582553">
        <w:t xml:space="preserve">, given </w:t>
      </w:r>
      <w:r w:rsidR="000D6061">
        <w:t>that Leiman’s</w:t>
      </w:r>
      <w:r w:rsidR="00555F4E">
        <w:t xml:space="preserve"> conduct did not amount to </w:t>
      </w:r>
      <w:r>
        <w:t xml:space="preserve">actual detriment or damage to Noble’s business interests. </w:t>
      </w:r>
    </w:p>
    <w:p w14:paraId="6C60DE20" w14:textId="77777777" w:rsidR="00D53B49" w:rsidRDefault="00D53B49" w:rsidP="00E837EF">
      <w:pPr>
        <w:pStyle w:val="Heading4"/>
      </w:pPr>
    </w:p>
    <w:p w14:paraId="2D2D2C0B" w14:textId="502EB44C" w:rsidR="00321917" w:rsidRDefault="00D53B49" w:rsidP="006910BD">
      <w:pPr>
        <w:pStyle w:val="Heading2"/>
        <w:widowControl w:val="0"/>
        <w:spacing w:line="240" w:lineRule="auto"/>
      </w:pPr>
      <w:r>
        <w:t>Economic torts and remedies</w:t>
      </w:r>
    </w:p>
    <w:p w14:paraId="786F76C5" w14:textId="7F13FE89" w:rsidR="00321917" w:rsidRDefault="0027450C" w:rsidP="00E837EF">
      <w:pPr>
        <w:pStyle w:val="Heading4"/>
      </w:pPr>
      <w:r>
        <w:t>With regard to the economic tort claims, the CA</w:t>
      </w:r>
      <w:r w:rsidR="00DC5593">
        <w:t xml:space="preserve"> upheld the </w:t>
      </w:r>
      <w:r w:rsidR="00ED296C">
        <w:t>HC</w:t>
      </w:r>
      <w:r w:rsidR="003378BB">
        <w:t>’s</w:t>
      </w:r>
      <w:r w:rsidR="00DC5593">
        <w:t xml:space="preserve"> dismissal of these claims</w:t>
      </w:r>
      <w:r w:rsidR="003378BB">
        <w:t>,</w:t>
      </w:r>
      <w:r w:rsidR="00DC5593">
        <w:t xml:space="preserve"> as </w:t>
      </w:r>
      <w:r w:rsidR="003378BB">
        <w:t>it</w:t>
      </w:r>
      <w:r w:rsidR="00321917">
        <w:t xml:space="preserve"> </w:t>
      </w:r>
      <w:r w:rsidR="002E0594">
        <w:t xml:space="preserve">was satisfied that the elements of the pleaded economic torts had not been proved adequately. </w:t>
      </w:r>
      <w:r>
        <w:t>As for remedies, w</w:t>
      </w:r>
      <w:r w:rsidR="002E0594">
        <w:t>hile the CA found that the R&amp;O Committee’s decision relating to the Shares and Share Options was invalid, it did not direct the R&amp;O Committee to reconsider the entitlements</w:t>
      </w:r>
      <w:r w:rsidR="00ED296C">
        <w:t>,</w:t>
      </w:r>
      <w:r w:rsidR="002E0594">
        <w:t xml:space="preserve"> as the time for such action had long passed and the Committee as it was constituted at the material time no longer exist</w:t>
      </w:r>
      <w:r w:rsidR="00ED296C">
        <w:t>ed</w:t>
      </w:r>
      <w:r w:rsidR="002E0594">
        <w:t xml:space="preserve">. </w:t>
      </w:r>
      <w:r w:rsidR="00ED296C">
        <w:t>T</w:t>
      </w:r>
      <w:r w:rsidR="002E0594">
        <w:t xml:space="preserve">he CA instead ordered that damages were to be assessed for the </w:t>
      </w:r>
      <w:r w:rsidR="00DC5593">
        <w:t>losses</w:t>
      </w:r>
      <w:r w:rsidR="002E0594">
        <w:t xml:space="preserve"> sustained a result of the wrongful decisions. </w:t>
      </w:r>
    </w:p>
    <w:p w14:paraId="08DB640A" w14:textId="77777777" w:rsidR="00D53B49" w:rsidRDefault="00D53B49" w:rsidP="00E837EF">
      <w:pPr>
        <w:pStyle w:val="Heading4"/>
      </w:pPr>
    </w:p>
    <w:p w14:paraId="587D59F3" w14:textId="60725BBF" w:rsidR="002E0594" w:rsidRDefault="006E06C8" w:rsidP="006910BD">
      <w:pPr>
        <w:pStyle w:val="Heading1"/>
        <w:widowControl w:val="0"/>
        <w:spacing w:line="240" w:lineRule="auto"/>
      </w:pPr>
      <w:r>
        <w:t xml:space="preserve">Key Takeaways </w:t>
      </w:r>
      <w:r w:rsidR="002E0594">
        <w:t xml:space="preserve"> </w:t>
      </w:r>
    </w:p>
    <w:p w14:paraId="1463E9E0" w14:textId="4C67992A" w:rsidR="00201C72" w:rsidRDefault="00EE0484" w:rsidP="00E837EF">
      <w:pPr>
        <w:pStyle w:val="Heading4"/>
      </w:pPr>
      <w:r>
        <w:t>Regarding</w:t>
      </w:r>
      <w:r w:rsidR="006E06C8">
        <w:t xml:space="preserve"> the penalty doctrine</w:t>
      </w:r>
      <w:r>
        <w:t>:</w:t>
      </w:r>
      <w:r w:rsidR="006E06C8">
        <w:t xml:space="preserve"> </w:t>
      </w:r>
      <w:r w:rsidR="00EF60D4">
        <w:t xml:space="preserve">it remains to be seen whether the </w:t>
      </w:r>
      <w:r w:rsidR="00EF60D4" w:rsidRPr="00EF60D4">
        <w:rPr>
          <w:i/>
          <w:iCs/>
        </w:rPr>
        <w:t>Cavendish</w:t>
      </w:r>
      <w:r w:rsidR="00EF60D4">
        <w:rPr>
          <w:i/>
          <w:iCs/>
        </w:rPr>
        <w:t xml:space="preserve"> </w:t>
      </w:r>
      <w:r w:rsidR="00EF60D4">
        <w:t xml:space="preserve">test will become part of Singapore law, and how it will interact with the </w:t>
      </w:r>
      <w:r w:rsidR="00EF60D4">
        <w:rPr>
          <w:i/>
          <w:iCs/>
        </w:rPr>
        <w:t>Dunlop</w:t>
      </w:r>
      <w:r w:rsidR="00E513B8">
        <w:t xml:space="preserve"> </w:t>
      </w:r>
      <w:r w:rsidR="00EF60D4">
        <w:t>test. However, the CA’s decision that the</w:t>
      </w:r>
      <w:r w:rsidR="00181F56">
        <w:t xml:space="preserve"> relevant</w:t>
      </w:r>
      <w:r w:rsidR="00EF60D4">
        <w:t xml:space="preserve"> clause</w:t>
      </w:r>
      <w:r w:rsidR="00181F56">
        <w:t>s</w:t>
      </w:r>
      <w:r w:rsidR="00EF60D4">
        <w:t xml:space="preserve"> would have been caught as a penalty clause under both tests indicate</w:t>
      </w:r>
      <w:r w:rsidR="001459EC">
        <w:t>s</w:t>
      </w:r>
      <w:r w:rsidR="00EF60D4">
        <w:t xml:space="preserve"> that it would be prudent to consider implications under both tests when drafting.</w:t>
      </w:r>
      <w:r w:rsidR="00A972F4">
        <w:t xml:space="preserve"> </w:t>
      </w:r>
      <w:r w:rsidR="004B3BE3">
        <w:t xml:space="preserve">The </w:t>
      </w:r>
      <w:r w:rsidR="0000749C">
        <w:t>CA</w:t>
      </w:r>
      <w:r w:rsidR="004B3BE3">
        <w:t xml:space="preserve"> also laid down various</w:t>
      </w:r>
      <w:r w:rsidR="00155AC2">
        <w:t xml:space="preserve"> </w:t>
      </w:r>
      <w:r w:rsidR="008403DF">
        <w:t>considerations</w:t>
      </w:r>
      <w:r w:rsidR="00155AC2">
        <w:t xml:space="preserve"> that </w:t>
      </w:r>
      <w:r w:rsidR="004B3BE3">
        <w:t xml:space="preserve">are relevant in determining </w:t>
      </w:r>
      <w:r w:rsidR="00155AC2">
        <w:t>whether a clause stipulates a primary or secondary obligation</w:t>
      </w:r>
      <w:r w:rsidR="004B3BE3">
        <w:t xml:space="preserve">. </w:t>
      </w:r>
      <w:r w:rsidR="000D7297">
        <w:t xml:space="preserve">In </w:t>
      </w:r>
      <w:r w:rsidR="00155AC2">
        <w:t>particular</w:t>
      </w:r>
      <w:r w:rsidR="000D7297">
        <w:t>,</w:t>
      </w:r>
      <w:r w:rsidR="00155AC2">
        <w:t xml:space="preserve"> the </w:t>
      </w:r>
      <w:r w:rsidR="001C1200">
        <w:t>consideration</w:t>
      </w:r>
      <w:r w:rsidR="00155AC2">
        <w:t xml:space="preserve"> of whether the clause was intended to secure some commercial purpose</w:t>
      </w:r>
      <w:r w:rsidR="007A24DF">
        <w:t>,</w:t>
      </w:r>
      <w:r w:rsidR="00155AC2">
        <w:t xml:space="preserve"> </w:t>
      </w:r>
      <w:r w:rsidR="00BC1112" w:rsidRPr="00BC1112">
        <w:t xml:space="preserve">as opposed </w:t>
      </w:r>
      <w:r w:rsidR="004B3BE3">
        <w:t xml:space="preserve">to </w:t>
      </w:r>
      <w:r w:rsidR="00BC1112" w:rsidRPr="00BC1112">
        <w:t xml:space="preserve">simply to </w:t>
      </w:r>
      <w:r w:rsidR="004B3BE3">
        <w:t>holding the relevant party</w:t>
      </w:r>
      <w:r w:rsidR="004B3BE3" w:rsidRPr="004B3BE3">
        <w:t xml:space="preserve"> </w:t>
      </w:r>
      <w:r w:rsidR="004B3BE3" w:rsidRPr="007A24DF">
        <w:rPr>
          <w:i/>
          <w:iCs/>
        </w:rPr>
        <w:t>in terrorem</w:t>
      </w:r>
      <w:r w:rsidR="004B3BE3" w:rsidRPr="004B3BE3">
        <w:t xml:space="preserve"> to secure complianc</w:t>
      </w:r>
      <w:r w:rsidR="000D7297">
        <w:t>e</w:t>
      </w:r>
      <w:r w:rsidR="007A24DF">
        <w:t>,</w:t>
      </w:r>
      <w:r w:rsidR="004B3BE3">
        <w:t xml:space="preserve"> reveal</w:t>
      </w:r>
      <w:r w:rsidR="000D7297">
        <w:t>s</w:t>
      </w:r>
      <w:r w:rsidR="004B3BE3">
        <w:t xml:space="preserve"> the </w:t>
      </w:r>
      <w:r w:rsidR="007A24DF">
        <w:t>CA’s</w:t>
      </w:r>
      <w:r w:rsidR="004B3BE3">
        <w:t xml:space="preserve"> inclination to consider the background and purpose of the commercial transaction in its entirety.</w:t>
      </w:r>
      <w:r w:rsidR="000D7297">
        <w:t xml:space="preserve"> This makes it clear that while clear drafting of the clause is still highly important, at the end of the day, the court would still consider substance over form.</w:t>
      </w:r>
    </w:p>
    <w:p w14:paraId="11D026A5" w14:textId="77777777" w:rsidR="00D53B49" w:rsidRDefault="00D53B49" w:rsidP="00E837EF">
      <w:pPr>
        <w:pStyle w:val="Heading4"/>
      </w:pPr>
    </w:p>
    <w:p w14:paraId="2FD0BC06" w14:textId="437BFCF7" w:rsidR="00E837EF" w:rsidRDefault="00A30F74" w:rsidP="00E837EF">
      <w:pPr>
        <w:pStyle w:val="Heading4"/>
      </w:pPr>
      <w:r>
        <w:t>Regarding</w:t>
      </w:r>
      <w:r w:rsidR="00944F5D">
        <w:t xml:space="preserve"> the issue of contracts which vest decision-making powers in a contractually designated entity</w:t>
      </w:r>
      <w:r w:rsidR="00226416">
        <w:t>:</w:t>
      </w:r>
      <w:r w:rsidR="00944F5D">
        <w:t xml:space="preserve"> it is now clear that there is no general duty to abide by the principles of natural justice</w:t>
      </w:r>
      <w:r w:rsidR="004C706B">
        <w:t xml:space="preserve"> when such </w:t>
      </w:r>
      <w:r w:rsidR="00FC2732">
        <w:t>powers</w:t>
      </w:r>
      <w:r w:rsidR="00FE19BF">
        <w:t xml:space="preserve"> are exercised</w:t>
      </w:r>
      <w:r w:rsidR="00944F5D">
        <w:t>.</w:t>
      </w:r>
      <w:r w:rsidR="00B0500B">
        <w:t xml:space="preserve"> </w:t>
      </w:r>
      <w:r w:rsidR="00E61669">
        <w:t>However</w:t>
      </w:r>
      <w:r w:rsidR="00B0500B">
        <w:t xml:space="preserve">, where non-judicial decision-making bodies are concerned, the courts </w:t>
      </w:r>
      <w:r w:rsidR="00FE19BF">
        <w:t xml:space="preserve">have the jurisdiction </w:t>
      </w:r>
      <w:r w:rsidR="00B0500B">
        <w:t xml:space="preserve">to </w:t>
      </w:r>
      <w:r w:rsidR="00763A9C">
        <w:t xml:space="preserve">review </w:t>
      </w:r>
      <w:r w:rsidR="00FE19BF">
        <w:t xml:space="preserve">how these bodies may validly exercise </w:t>
      </w:r>
      <w:r w:rsidR="00763A9C">
        <w:t xml:space="preserve">their </w:t>
      </w:r>
      <w:r w:rsidR="00FE19BF">
        <w:t>powers</w:t>
      </w:r>
      <w:r w:rsidR="00705D97">
        <w:t>,</w:t>
      </w:r>
      <w:r w:rsidR="00B0500B">
        <w:t xml:space="preserve"> </w:t>
      </w:r>
      <w:r w:rsidR="00FE19BF">
        <w:t xml:space="preserve">as part of a contractual analysis undertaken </w:t>
      </w:r>
      <w:r w:rsidR="00944F5D">
        <w:t xml:space="preserve">through </w:t>
      </w:r>
      <w:r w:rsidR="008E452D">
        <w:t xml:space="preserve">a </w:t>
      </w:r>
      <w:r w:rsidR="00944F5D">
        <w:t xml:space="preserve">detailed construction and examination of </w:t>
      </w:r>
      <w:r w:rsidR="00FE19BF">
        <w:t xml:space="preserve">the </w:t>
      </w:r>
      <w:r w:rsidR="00944F5D">
        <w:t xml:space="preserve">specific </w:t>
      </w:r>
      <w:r w:rsidR="00FE19BF">
        <w:t xml:space="preserve">contractual language and the </w:t>
      </w:r>
      <w:r w:rsidR="00B0500B">
        <w:t>parties’ intentions</w:t>
      </w:r>
      <w:r w:rsidR="00944F5D">
        <w:t>.</w:t>
      </w:r>
      <w:r w:rsidR="00214EC2">
        <w:t xml:space="preserve"> </w:t>
      </w:r>
      <w:r w:rsidR="00C0062A">
        <w:t xml:space="preserve">The first port of call is the contract, and hence, </w:t>
      </w:r>
      <w:r w:rsidR="00C07E8D">
        <w:t>should parties contemplate and agree on certain procedural requirements on decision-making bodies, these intentions should be accurately reflected and captured by the language of the contractual provision.</w:t>
      </w:r>
    </w:p>
    <w:p w14:paraId="414A3BCC" w14:textId="77777777" w:rsidR="00E837EF" w:rsidRDefault="00E837EF" w:rsidP="00E837EF">
      <w:pPr>
        <w:pStyle w:val="Heading4"/>
        <w:widowControl w:val="0"/>
        <w:pBdr>
          <w:bottom w:val="single" w:sz="12" w:space="1" w:color="auto"/>
        </w:pBdr>
      </w:pPr>
    </w:p>
    <w:p w14:paraId="0B7837DB" w14:textId="56D58C59" w:rsidR="003161BE" w:rsidRPr="005E2F55" w:rsidRDefault="003161BE" w:rsidP="00E837EF">
      <w:pPr>
        <w:pStyle w:val="Heading4"/>
        <w:rPr>
          <w:sz w:val="20"/>
          <w:szCs w:val="20"/>
        </w:rPr>
      </w:pPr>
    </w:p>
    <w:p w14:paraId="71F6382E" w14:textId="2FD77C92" w:rsidR="003161BE" w:rsidRPr="005E2F55" w:rsidRDefault="003161BE" w:rsidP="00E837EF">
      <w:pPr>
        <w:pStyle w:val="Heading4"/>
        <w:rPr>
          <w:sz w:val="20"/>
          <w:szCs w:val="20"/>
        </w:rPr>
      </w:pPr>
      <w:r w:rsidRPr="005E2F55">
        <w:rPr>
          <w:sz w:val="20"/>
          <w:szCs w:val="20"/>
        </w:rPr>
        <w:t xml:space="preserve">Written by: Tan Jia Xin, 3rd-year LLB student, Singapore Management University School of Law. </w:t>
      </w:r>
    </w:p>
    <w:p w14:paraId="59761AB5" w14:textId="0DD62C5C" w:rsidR="003161BE" w:rsidRPr="005E2F55" w:rsidRDefault="003161BE" w:rsidP="00E837EF">
      <w:pPr>
        <w:pStyle w:val="Heading4"/>
        <w:rPr>
          <w:sz w:val="20"/>
          <w:szCs w:val="20"/>
        </w:rPr>
      </w:pPr>
      <w:r w:rsidRPr="005E2F55">
        <w:rPr>
          <w:sz w:val="20"/>
          <w:szCs w:val="20"/>
        </w:rPr>
        <w:t xml:space="preserve">Edited </w:t>
      </w:r>
      <w:proofErr w:type="gramStart"/>
      <w:r w:rsidRPr="005E2F55">
        <w:rPr>
          <w:sz w:val="20"/>
          <w:szCs w:val="20"/>
        </w:rPr>
        <w:t>by:</w:t>
      </w:r>
      <w:proofErr w:type="gramEnd"/>
      <w:r w:rsidRPr="005E2F55">
        <w:rPr>
          <w:sz w:val="20"/>
          <w:szCs w:val="20"/>
        </w:rPr>
        <w:t xml:space="preserve"> Ong Ee Ing (Senior Lecturer), Singapore Management University School of Law.</w:t>
      </w:r>
    </w:p>
    <w:sectPr w:rsidR="003161BE" w:rsidRPr="005E2F55" w:rsidSect="00035E4E">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7472A" w14:textId="77777777" w:rsidR="00784286" w:rsidRDefault="00784286" w:rsidP="00FB7360">
      <w:pPr>
        <w:spacing w:line="240" w:lineRule="auto"/>
      </w:pPr>
      <w:r>
        <w:separator/>
      </w:r>
    </w:p>
  </w:endnote>
  <w:endnote w:type="continuationSeparator" w:id="0">
    <w:p w14:paraId="44EF9859" w14:textId="77777777" w:rsidR="00784286" w:rsidRDefault="00784286" w:rsidP="00FB7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0148" w14:textId="38185820" w:rsidR="00EC41A7" w:rsidRDefault="00EC41A7">
    <w:pPr>
      <w:pStyle w:val="Footer"/>
    </w:pPr>
    <w:r>
      <w:rPr>
        <w:rFonts w:ascii="Times New Roman" w:hAnsi="Times New Roman" w:cs="Times New Roman"/>
        <w:lang w:val="en-GB"/>
      </w:rPr>
      <w:t xml:space="preserve">Page </w:t>
    </w:r>
    <w:r>
      <w:rPr>
        <w:rFonts w:ascii="Times New Roman" w:hAnsi="Times New Roman" w:cs="Times New Roman"/>
        <w:lang w:val="en-GB"/>
      </w:rPr>
      <w:fldChar w:fldCharType="begin"/>
    </w:r>
    <w:r>
      <w:rPr>
        <w:rFonts w:ascii="Times New Roman" w:hAnsi="Times New Roman" w:cs="Times New Roman"/>
        <w:lang w:val="en-GB"/>
      </w:rPr>
      <w:instrText xml:space="preserve"> PAGE </w:instrText>
    </w:r>
    <w:r>
      <w:rPr>
        <w:rFonts w:ascii="Times New Roman" w:hAnsi="Times New Roman" w:cs="Times New Roman"/>
        <w:lang w:val="en-GB"/>
      </w:rPr>
      <w:fldChar w:fldCharType="separate"/>
    </w:r>
    <w:r>
      <w:rPr>
        <w:rFonts w:ascii="Times New Roman" w:hAnsi="Times New Roman" w:cs="Times New Roman"/>
        <w:noProof/>
        <w:lang w:val="en-GB"/>
      </w:rPr>
      <w:t>7</w:t>
    </w:r>
    <w:r>
      <w:rPr>
        <w:rFonts w:ascii="Times New Roman" w:hAnsi="Times New Roman" w:cs="Times New Roman"/>
        <w:lang w:val="en-GB"/>
      </w:rPr>
      <w:fldChar w:fldCharType="end"/>
    </w:r>
    <w:r>
      <w:rPr>
        <w:rFonts w:ascii="Times New Roman" w:hAnsi="Times New Roman" w:cs="Times New Roman"/>
        <w:lang w:val="en-GB"/>
      </w:rPr>
      <w:t xml:space="preserve"> of </w:t>
    </w:r>
    <w:r>
      <w:rPr>
        <w:rFonts w:ascii="Times New Roman" w:hAnsi="Times New Roman" w:cs="Times New Roman"/>
        <w:lang w:val="en-GB"/>
      </w:rPr>
      <w:fldChar w:fldCharType="begin"/>
    </w:r>
    <w:r>
      <w:rPr>
        <w:rFonts w:ascii="Times New Roman" w:hAnsi="Times New Roman" w:cs="Times New Roman"/>
        <w:lang w:val="en-GB"/>
      </w:rPr>
      <w:instrText xml:space="preserve"> NUMPAGES </w:instrText>
    </w:r>
    <w:r>
      <w:rPr>
        <w:rFonts w:ascii="Times New Roman" w:hAnsi="Times New Roman" w:cs="Times New Roman"/>
        <w:lang w:val="en-GB"/>
      </w:rPr>
      <w:fldChar w:fldCharType="separate"/>
    </w:r>
    <w:r>
      <w:rPr>
        <w:rFonts w:ascii="Times New Roman" w:hAnsi="Times New Roman" w:cs="Times New Roman"/>
        <w:noProof/>
        <w:lang w:val="en-GB"/>
      </w:rPr>
      <w:t>7</w:t>
    </w:r>
    <w:r>
      <w:rPr>
        <w:rFonts w:ascii="Times New Roman" w:hAnsi="Times New Roman" w:cs="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D46C" w14:textId="77777777" w:rsidR="00784286" w:rsidRDefault="00784286" w:rsidP="00FB7360">
      <w:pPr>
        <w:spacing w:line="240" w:lineRule="auto"/>
      </w:pPr>
      <w:r>
        <w:separator/>
      </w:r>
    </w:p>
  </w:footnote>
  <w:footnote w:type="continuationSeparator" w:id="0">
    <w:p w14:paraId="5557D696" w14:textId="77777777" w:rsidR="00784286" w:rsidRDefault="00784286" w:rsidP="00FB7360">
      <w:pPr>
        <w:spacing w:line="240" w:lineRule="auto"/>
      </w:pPr>
      <w:r>
        <w:continuationSeparator/>
      </w:r>
    </w:p>
  </w:footnote>
  <w:footnote w:id="1">
    <w:p w14:paraId="28D19BF9" w14:textId="60472214" w:rsidR="00DF053B" w:rsidRPr="00506713" w:rsidRDefault="00DF053B" w:rsidP="00165312">
      <w:pPr>
        <w:pStyle w:val="FootnoteText"/>
        <w:ind w:left="0"/>
        <w:jc w:val="both"/>
        <w:rPr>
          <w:rFonts w:ascii="Times New Roman" w:hAnsi="Times New Roman" w:cs="Times New Roman"/>
        </w:rPr>
      </w:pPr>
      <w:r w:rsidRPr="00506713">
        <w:rPr>
          <w:rStyle w:val="FootnoteReference"/>
          <w:rFonts w:ascii="Times New Roman" w:hAnsi="Times New Roman" w:cs="Times New Roman"/>
        </w:rPr>
        <w:footnoteRef/>
      </w:r>
      <w:r w:rsidRPr="00506713">
        <w:rPr>
          <w:rFonts w:ascii="Times New Roman" w:hAnsi="Times New Roman" w:cs="Times New Roman"/>
        </w:rPr>
        <w:t xml:space="preserve"> </w:t>
      </w:r>
      <w:r w:rsidR="00506713" w:rsidRPr="00506713">
        <w:rPr>
          <w:rFonts w:ascii="Times New Roman" w:hAnsi="Times New Roman" w:cs="Times New Roman"/>
        </w:rPr>
        <w:t xml:space="preserve">This </w:t>
      </w:r>
      <w:r w:rsidR="00FE2A32">
        <w:rPr>
          <w:rFonts w:ascii="Times New Roman" w:hAnsi="Times New Roman" w:cs="Times New Roman"/>
        </w:rPr>
        <w:t xml:space="preserve">clause </w:t>
      </w:r>
      <w:r w:rsidR="00506713" w:rsidRPr="00506713">
        <w:rPr>
          <w:rFonts w:ascii="Times New Roman" w:hAnsi="Times New Roman" w:cs="Times New Roman"/>
        </w:rPr>
        <w:t xml:space="preserve">preserved Leiman’s entitlement to exercise </w:t>
      </w:r>
      <w:r w:rsidR="00833A56">
        <w:rPr>
          <w:rFonts w:ascii="Times New Roman" w:hAnsi="Times New Roman" w:cs="Times New Roman"/>
        </w:rPr>
        <w:t xml:space="preserve">certain </w:t>
      </w:r>
      <w:r w:rsidR="00506713" w:rsidRPr="00506713">
        <w:rPr>
          <w:rFonts w:ascii="Times New Roman" w:hAnsi="Times New Roman" w:cs="Times New Roman"/>
        </w:rPr>
        <w:t>share options that would otherwise</w:t>
      </w:r>
      <w:r w:rsidR="00B878DF">
        <w:rPr>
          <w:rFonts w:ascii="Times New Roman" w:hAnsi="Times New Roman" w:cs="Times New Roman"/>
        </w:rPr>
        <w:t xml:space="preserve"> have</w:t>
      </w:r>
      <w:r w:rsidR="00506713" w:rsidRPr="00506713">
        <w:rPr>
          <w:rFonts w:ascii="Times New Roman" w:hAnsi="Times New Roman" w:cs="Times New Roman"/>
        </w:rPr>
        <w:t xml:space="preserve"> </w:t>
      </w:r>
      <w:r w:rsidR="000226F8">
        <w:rPr>
          <w:rFonts w:ascii="Times New Roman" w:hAnsi="Times New Roman" w:cs="Times New Roman"/>
        </w:rPr>
        <w:t>automatically lapse</w:t>
      </w:r>
      <w:r w:rsidR="002151FC">
        <w:rPr>
          <w:rFonts w:ascii="Times New Roman" w:hAnsi="Times New Roman" w:cs="Times New Roman"/>
        </w:rPr>
        <w:t>d</w:t>
      </w:r>
      <w:r w:rsidR="00506713" w:rsidRPr="00506713">
        <w:rPr>
          <w:rFonts w:ascii="Times New Roman" w:hAnsi="Times New Roman" w:cs="Times New Roman"/>
        </w:rPr>
        <w:t xml:space="preserve"> upon</w:t>
      </w:r>
      <w:r w:rsidR="00B878DF">
        <w:rPr>
          <w:rFonts w:ascii="Times New Roman" w:hAnsi="Times New Roman" w:cs="Times New Roman"/>
        </w:rPr>
        <w:t xml:space="preserve"> his</w:t>
      </w:r>
      <w:r w:rsidR="00506713" w:rsidRPr="00506713">
        <w:rPr>
          <w:rFonts w:ascii="Times New Roman" w:hAnsi="Times New Roman" w:cs="Times New Roman"/>
        </w:rPr>
        <w:t xml:space="preserve"> termination.</w:t>
      </w:r>
    </w:p>
  </w:footnote>
  <w:footnote w:id="2">
    <w:p w14:paraId="63B6D054" w14:textId="3EA85B06" w:rsidR="008F7EFB" w:rsidRPr="00506713" w:rsidRDefault="008F7EFB" w:rsidP="008328D7">
      <w:pPr>
        <w:pStyle w:val="FootnoteText"/>
        <w:ind w:left="0"/>
        <w:jc w:val="both"/>
        <w:rPr>
          <w:rFonts w:ascii="Times New Roman" w:hAnsi="Times New Roman" w:cs="Times New Roman"/>
          <w:lang w:val="en-US"/>
        </w:rPr>
      </w:pPr>
      <w:r w:rsidRPr="00506713">
        <w:rPr>
          <w:rStyle w:val="FootnoteReference"/>
          <w:rFonts w:ascii="Times New Roman" w:hAnsi="Times New Roman" w:cs="Times New Roman"/>
        </w:rPr>
        <w:footnoteRef/>
      </w:r>
      <w:r w:rsidRPr="00506713">
        <w:rPr>
          <w:rFonts w:ascii="Times New Roman" w:hAnsi="Times New Roman" w:cs="Times New Roman"/>
        </w:rPr>
        <w:t xml:space="preserve"> </w:t>
      </w:r>
      <w:r w:rsidR="00293003" w:rsidRPr="00506713">
        <w:rPr>
          <w:rFonts w:ascii="Times New Roman" w:hAnsi="Times New Roman" w:cs="Times New Roman"/>
          <w:lang w:val="en-US"/>
        </w:rPr>
        <w:t xml:space="preserve">Under the AIP, common stock issued to Noble employees </w:t>
      </w:r>
      <w:r w:rsidR="00166562" w:rsidRPr="00506713">
        <w:rPr>
          <w:rFonts w:ascii="Times New Roman" w:hAnsi="Times New Roman" w:cs="Times New Roman"/>
          <w:lang w:val="en-US"/>
        </w:rPr>
        <w:t xml:space="preserve">were </w:t>
      </w:r>
      <w:r w:rsidR="00293003" w:rsidRPr="00506713">
        <w:rPr>
          <w:rFonts w:ascii="Times New Roman" w:hAnsi="Times New Roman" w:cs="Times New Roman"/>
          <w:lang w:val="en-US"/>
        </w:rPr>
        <w:t xml:space="preserve">held by a discretionary trust established by NGL for a stipulated period, during which time it </w:t>
      </w:r>
      <w:r w:rsidR="009C7841" w:rsidRPr="00506713">
        <w:rPr>
          <w:rFonts w:ascii="Times New Roman" w:hAnsi="Times New Roman" w:cs="Times New Roman"/>
          <w:lang w:val="en-US"/>
        </w:rPr>
        <w:t xml:space="preserve">could not </w:t>
      </w:r>
      <w:r w:rsidR="00293003" w:rsidRPr="00506713">
        <w:rPr>
          <w:rFonts w:ascii="Times New Roman" w:hAnsi="Times New Roman" w:cs="Times New Roman"/>
          <w:lang w:val="en-US"/>
        </w:rPr>
        <w:t xml:space="preserve">be transferred or assigned except in the event of the employee’s death. </w:t>
      </w:r>
    </w:p>
  </w:footnote>
  <w:footnote w:id="3">
    <w:p w14:paraId="443F638B" w14:textId="46E5C804" w:rsidR="005A5617" w:rsidRPr="00506713" w:rsidRDefault="005A5617" w:rsidP="00370114">
      <w:pPr>
        <w:pStyle w:val="FootnoteText"/>
        <w:ind w:left="0"/>
        <w:jc w:val="both"/>
        <w:rPr>
          <w:rFonts w:ascii="Times New Roman" w:hAnsi="Times New Roman" w:cs="Times New Roman"/>
          <w:lang w:val="en-US"/>
        </w:rPr>
      </w:pPr>
      <w:r w:rsidRPr="00506713">
        <w:rPr>
          <w:rStyle w:val="FootnoteReference"/>
          <w:rFonts w:ascii="Times New Roman" w:hAnsi="Times New Roman" w:cs="Times New Roman"/>
        </w:rPr>
        <w:footnoteRef/>
      </w:r>
      <w:r w:rsidRPr="00506713">
        <w:rPr>
          <w:rFonts w:ascii="Times New Roman" w:hAnsi="Times New Roman" w:cs="Times New Roman"/>
        </w:rPr>
        <w:t xml:space="preserve"> </w:t>
      </w:r>
      <w:r w:rsidR="00370114" w:rsidRPr="00506713">
        <w:rPr>
          <w:rFonts w:ascii="Times New Roman" w:hAnsi="Times New Roman" w:cs="Times New Roman"/>
          <w:lang w:val="en-US"/>
        </w:rPr>
        <w:t>A</w:t>
      </w:r>
      <w:r w:rsidR="00706CA3" w:rsidRPr="00506713">
        <w:rPr>
          <w:rFonts w:ascii="Times New Roman" w:hAnsi="Times New Roman" w:cs="Times New Roman"/>
          <w:lang w:val="en-US"/>
        </w:rPr>
        <w:t xml:space="preserve"> classic</w:t>
      </w:r>
      <w:r w:rsidR="00370114" w:rsidRPr="00506713">
        <w:rPr>
          <w:rFonts w:ascii="Times New Roman" w:hAnsi="Times New Roman" w:cs="Times New Roman"/>
          <w:lang w:val="en-US"/>
        </w:rPr>
        <w:t xml:space="preserve"> </w:t>
      </w:r>
      <w:r w:rsidR="005D3BBC" w:rsidRPr="00506713">
        <w:rPr>
          <w:rFonts w:ascii="Times New Roman" w:hAnsi="Times New Roman" w:cs="Times New Roman"/>
          <w:lang w:val="en-US"/>
        </w:rPr>
        <w:t>example of an unenforceable penalty clause</w:t>
      </w:r>
      <w:r w:rsidR="00370114" w:rsidRPr="00506713">
        <w:rPr>
          <w:rFonts w:ascii="Times New Roman" w:hAnsi="Times New Roman" w:cs="Times New Roman"/>
          <w:lang w:val="en-US"/>
        </w:rPr>
        <w:t xml:space="preserve"> </w:t>
      </w:r>
      <w:r w:rsidR="007F6D2B" w:rsidRPr="00506713">
        <w:rPr>
          <w:rFonts w:ascii="Times New Roman" w:hAnsi="Times New Roman" w:cs="Times New Roman"/>
          <w:lang w:val="en-US"/>
        </w:rPr>
        <w:t>would be</w:t>
      </w:r>
      <w:r w:rsidR="00370114" w:rsidRPr="00506713">
        <w:rPr>
          <w:rFonts w:ascii="Times New Roman" w:hAnsi="Times New Roman" w:cs="Times New Roman"/>
          <w:lang w:val="en-US"/>
        </w:rPr>
        <w:t xml:space="preserve"> </w:t>
      </w:r>
      <w:r w:rsidR="007F6D2B" w:rsidRPr="00506713">
        <w:rPr>
          <w:rFonts w:ascii="Times New Roman" w:hAnsi="Times New Roman" w:cs="Times New Roman"/>
          <w:lang w:val="en-US"/>
        </w:rPr>
        <w:t>if</w:t>
      </w:r>
      <w:r w:rsidR="00370114" w:rsidRPr="00506713">
        <w:rPr>
          <w:rFonts w:ascii="Times New Roman" w:hAnsi="Times New Roman" w:cs="Times New Roman"/>
          <w:lang w:val="en-US"/>
        </w:rPr>
        <w:t xml:space="preserve"> </w:t>
      </w:r>
      <w:r w:rsidR="006D39BD" w:rsidRPr="00506713">
        <w:rPr>
          <w:rFonts w:ascii="Times New Roman" w:hAnsi="Times New Roman" w:cs="Times New Roman"/>
          <w:lang w:val="en-US"/>
        </w:rPr>
        <w:t>X</w:t>
      </w:r>
      <w:r w:rsidR="00706CA3" w:rsidRPr="00506713">
        <w:rPr>
          <w:rFonts w:ascii="Times New Roman" w:hAnsi="Times New Roman" w:cs="Times New Roman"/>
          <w:lang w:val="en-US"/>
        </w:rPr>
        <w:t xml:space="preserve"> </w:t>
      </w:r>
      <w:r w:rsidR="005D3BBC" w:rsidRPr="00506713">
        <w:rPr>
          <w:rFonts w:ascii="Times New Roman" w:hAnsi="Times New Roman" w:cs="Times New Roman"/>
          <w:lang w:val="en-US"/>
        </w:rPr>
        <w:t>agreed to build a house</w:t>
      </w:r>
      <w:r w:rsidR="006D39BD" w:rsidRPr="00506713">
        <w:rPr>
          <w:rFonts w:ascii="Times New Roman" w:hAnsi="Times New Roman" w:cs="Times New Roman"/>
          <w:lang w:val="en-US"/>
        </w:rPr>
        <w:t xml:space="preserve"> for Y</w:t>
      </w:r>
      <w:r w:rsidR="005D3BBC" w:rsidRPr="00506713">
        <w:rPr>
          <w:rFonts w:ascii="Times New Roman" w:hAnsi="Times New Roman" w:cs="Times New Roman"/>
          <w:lang w:val="en-US"/>
        </w:rPr>
        <w:t xml:space="preserve"> in a year</w:t>
      </w:r>
      <w:r w:rsidR="002B4EC5" w:rsidRPr="00506713">
        <w:rPr>
          <w:rFonts w:ascii="Times New Roman" w:hAnsi="Times New Roman" w:cs="Times New Roman"/>
          <w:lang w:val="en-US"/>
        </w:rPr>
        <w:t xml:space="preserve"> for $50</w:t>
      </w:r>
      <w:r w:rsidR="005D3BBC" w:rsidRPr="00506713">
        <w:rPr>
          <w:rFonts w:ascii="Times New Roman" w:hAnsi="Times New Roman" w:cs="Times New Roman"/>
          <w:lang w:val="en-US"/>
        </w:rPr>
        <w:t xml:space="preserve">, </w:t>
      </w:r>
      <w:r w:rsidR="002B4EC5" w:rsidRPr="00506713">
        <w:rPr>
          <w:rFonts w:ascii="Times New Roman" w:hAnsi="Times New Roman" w:cs="Times New Roman"/>
          <w:lang w:val="en-US"/>
        </w:rPr>
        <w:t xml:space="preserve">and that if </w:t>
      </w:r>
      <w:r w:rsidR="006D39BD" w:rsidRPr="00506713">
        <w:rPr>
          <w:rFonts w:ascii="Times New Roman" w:hAnsi="Times New Roman" w:cs="Times New Roman"/>
          <w:lang w:val="en-US"/>
        </w:rPr>
        <w:t>X</w:t>
      </w:r>
      <w:r w:rsidR="002B4EC5" w:rsidRPr="00506713">
        <w:rPr>
          <w:rFonts w:ascii="Times New Roman" w:hAnsi="Times New Roman" w:cs="Times New Roman"/>
          <w:lang w:val="en-US"/>
        </w:rPr>
        <w:t xml:space="preserve"> failed to do so</w:t>
      </w:r>
      <w:r w:rsidR="005D3BBC" w:rsidRPr="00506713">
        <w:rPr>
          <w:rFonts w:ascii="Times New Roman" w:hAnsi="Times New Roman" w:cs="Times New Roman"/>
          <w:i/>
          <w:iCs/>
          <w:lang w:val="en-US"/>
        </w:rPr>
        <w:t xml:space="preserve"> </w:t>
      </w:r>
      <w:r w:rsidR="006D39BD" w:rsidRPr="00506713">
        <w:rPr>
          <w:rFonts w:ascii="Times New Roman" w:hAnsi="Times New Roman" w:cs="Times New Roman"/>
          <w:lang w:val="en-US"/>
        </w:rPr>
        <w:t xml:space="preserve">he </w:t>
      </w:r>
      <w:r w:rsidR="005D3BBC" w:rsidRPr="00506713">
        <w:rPr>
          <w:rFonts w:ascii="Times New Roman" w:hAnsi="Times New Roman" w:cs="Times New Roman"/>
          <w:lang w:val="en-US"/>
        </w:rPr>
        <w:t>w</w:t>
      </w:r>
      <w:r w:rsidR="002B4EC5" w:rsidRPr="00506713">
        <w:rPr>
          <w:rFonts w:ascii="Times New Roman" w:hAnsi="Times New Roman" w:cs="Times New Roman"/>
          <w:lang w:val="en-US"/>
        </w:rPr>
        <w:t xml:space="preserve">ould </w:t>
      </w:r>
      <w:r w:rsidR="005D3BBC" w:rsidRPr="00506713">
        <w:rPr>
          <w:rFonts w:ascii="Times New Roman" w:hAnsi="Times New Roman" w:cs="Times New Roman"/>
          <w:lang w:val="en-US"/>
        </w:rPr>
        <w:t>pay</w:t>
      </w:r>
      <w:r w:rsidR="002B4EC5" w:rsidRPr="00506713">
        <w:rPr>
          <w:rFonts w:ascii="Times New Roman" w:hAnsi="Times New Roman" w:cs="Times New Roman"/>
          <w:lang w:val="en-US"/>
        </w:rPr>
        <w:t xml:space="preserve"> </w:t>
      </w:r>
      <w:r w:rsidR="006D39BD" w:rsidRPr="00506713">
        <w:rPr>
          <w:rFonts w:ascii="Times New Roman" w:hAnsi="Times New Roman" w:cs="Times New Roman"/>
          <w:lang w:val="en-US"/>
        </w:rPr>
        <w:t xml:space="preserve">Y </w:t>
      </w:r>
      <w:r w:rsidR="002B4EC5" w:rsidRPr="00506713">
        <w:rPr>
          <w:rFonts w:ascii="Times New Roman" w:hAnsi="Times New Roman" w:cs="Times New Roman"/>
          <w:lang w:val="en-US"/>
        </w:rPr>
        <w:t xml:space="preserve">$1,000,000 </w:t>
      </w:r>
      <w:r w:rsidR="005D3BBC" w:rsidRPr="00506713">
        <w:rPr>
          <w:rFonts w:ascii="Times New Roman" w:hAnsi="Times New Roman" w:cs="Times New Roman"/>
          <w:lang w:val="en-US"/>
        </w:rPr>
        <w:t>as a penalty</w:t>
      </w:r>
      <w:r w:rsidR="00225CB1" w:rsidRPr="00506713">
        <w:rPr>
          <w:rFonts w:ascii="Times New Roman" w:hAnsi="Times New Roman" w:cs="Times New Roman"/>
          <w:lang w:val="en-US"/>
        </w:rPr>
        <w:t>.</w:t>
      </w:r>
    </w:p>
  </w:footnote>
  <w:footnote w:id="4">
    <w:p w14:paraId="0F3BBE72" w14:textId="31EE8815" w:rsidR="00B11F25" w:rsidRPr="00506713" w:rsidRDefault="00B11F25" w:rsidP="00370114">
      <w:pPr>
        <w:pStyle w:val="FootnoteText"/>
        <w:ind w:left="0"/>
        <w:jc w:val="both"/>
        <w:rPr>
          <w:rFonts w:ascii="Times New Roman" w:hAnsi="Times New Roman" w:cs="Times New Roman"/>
        </w:rPr>
      </w:pPr>
      <w:r w:rsidRPr="00506713">
        <w:rPr>
          <w:rStyle w:val="FootnoteReference"/>
          <w:rFonts w:ascii="Times New Roman" w:hAnsi="Times New Roman" w:cs="Times New Roman"/>
        </w:rPr>
        <w:footnoteRef/>
      </w:r>
      <w:r w:rsidRPr="00506713">
        <w:rPr>
          <w:rFonts w:ascii="Times New Roman" w:hAnsi="Times New Roman" w:cs="Times New Roman"/>
        </w:rPr>
        <w:t xml:space="preserve"> </w:t>
      </w:r>
      <w:r w:rsidR="00965C34" w:rsidRPr="00506713">
        <w:rPr>
          <w:rFonts w:ascii="Times New Roman" w:hAnsi="Times New Roman" w:cs="Times New Roman"/>
        </w:rPr>
        <w:t xml:space="preserve">This </w:t>
      </w:r>
      <w:r w:rsidR="001B376C" w:rsidRPr="00506713">
        <w:rPr>
          <w:rFonts w:ascii="Times New Roman" w:hAnsi="Times New Roman" w:cs="Times New Roman"/>
        </w:rPr>
        <w:t>test comes from</w:t>
      </w:r>
      <w:r w:rsidR="00965C34" w:rsidRPr="00506713">
        <w:rPr>
          <w:rFonts w:ascii="Times New Roman" w:hAnsi="Times New Roman" w:cs="Times New Roman"/>
        </w:rPr>
        <w:t xml:space="preserve"> </w:t>
      </w:r>
      <w:r w:rsidRPr="00506713">
        <w:rPr>
          <w:rFonts w:ascii="Times New Roman" w:hAnsi="Times New Roman" w:cs="Times New Roman"/>
          <w:i/>
          <w:iCs/>
        </w:rPr>
        <w:t>Dunlop Pneumatic Tyre Company, Limited v New Garage and Motor Company, Limited</w:t>
      </w:r>
      <w:r w:rsidRPr="00506713">
        <w:rPr>
          <w:rFonts w:ascii="Times New Roman" w:hAnsi="Times New Roman" w:cs="Times New Roman"/>
        </w:rPr>
        <w:t xml:space="preserve"> [1915] AC 79</w:t>
      </w:r>
      <w:r w:rsidR="00250AB8" w:rsidRPr="00506713">
        <w:rPr>
          <w:rFonts w:ascii="Times New Roman" w:hAnsi="Times New Roman" w:cs="Times New Roman"/>
        </w:rPr>
        <w:t>.</w:t>
      </w:r>
      <w:r w:rsidR="00965C34" w:rsidRPr="00506713">
        <w:rPr>
          <w:rFonts w:ascii="Times New Roman" w:hAnsi="Times New Roman" w:cs="Times New Roman"/>
        </w:rPr>
        <w:t xml:space="preserve"> </w:t>
      </w:r>
    </w:p>
  </w:footnote>
  <w:footnote w:id="5">
    <w:p w14:paraId="744DB9FE" w14:textId="176FD113" w:rsidR="00860601" w:rsidRPr="00506713" w:rsidRDefault="00860601" w:rsidP="00860601">
      <w:pPr>
        <w:pStyle w:val="FootnoteText"/>
        <w:ind w:left="0"/>
        <w:rPr>
          <w:rFonts w:ascii="Times New Roman" w:hAnsi="Times New Roman" w:cs="Times New Roman"/>
          <w:lang w:val="en-US" w:eastAsia="zh-CN"/>
        </w:rPr>
      </w:pPr>
      <w:r w:rsidRPr="00506713">
        <w:rPr>
          <w:rStyle w:val="FootnoteReference"/>
          <w:rFonts w:ascii="Times New Roman" w:hAnsi="Times New Roman" w:cs="Times New Roman"/>
        </w:rPr>
        <w:footnoteRef/>
      </w:r>
      <w:r w:rsidRPr="00506713">
        <w:rPr>
          <w:rFonts w:ascii="Times New Roman" w:hAnsi="Times New Roman" w:cs="Times New Roman"/>
        </w:rPr>
        <w:t xml:space="preserve"> This test comes from </w:t>
      </w:r>
      <w:r w:rsidRPr="00506713">
        <w:rPr>
          <w:rFonts w:ascii="Times New Roman" w:hAnsi="Times New Roman" w:cs="Times New Roman"/>
          <w:color w:val="252525"/>
          <w:lang w:val="en-GB"/>
        </w:rPr>
        <w:t>Ca</w:t>
      </w:r>
      <w:r w:rsidRPr="00506713">
        <w:rPr>
          <w:rFonts w:ascii="Times New Roman" w:hAnsi="Times New Roman" w:cs="Times New Roman"/>
          <w:i/>
          <w:iCs/>
          <w:color w:val="252525"/>
          <w:lang w:val="en-GB"/>
        </w:rPr>
        <w:t xml:space="preserve">vendish Square Holdings BV </w:t>
      </w:r>
      <w:r w:rsidRPr="00506713">
        <w:rPr>
          <w:rFonts w:ascii="Times New Roman" w:hAnsi="Times New Roman" w:cs="Times New Roman"/>
          <w:i/>
          <w:iCs/>
          <w:color w:val="000000"/>
          <w:lang w:val="en-GB"/>
        </w:rPr>
        <w:t xml:space="preserve">v Makdessi </w:t>
      </w:r>
      <w:r w:rsidRPr="00506713">
        <w:rPr>
          <w:rFonts w:ascii="Times New Roman" w:hAnsi="Times New Roman" w:cs="Times New Roman"/>
          <w:color w:val="000000"/>
        </w:rPr>
        <w:t>[2016] AC 1172 (“</w:t>
      </w:r>
      <w:r w:rsidRPr="00506713">
        <w:rPr>
          <w:rFonts w:ascii="Times New Roman" w:hAnsi="Times New Roman" w:cs="Times New Roman"/>
          <w:i/>
          <w:iCs/>
          <w:color w:val="000000"/>
        </w:rPr>
        <w:t>Cavendish</w:t>
      </w:r>
      <w:r w:rsidRPr="00506713">
        <w:rPr>
          <w:rFonts w:ascii="Times New Roman" w:hAnsi="Times New Roman" w:cs="Times New Roman"/>
          <w:color w:val="000000"/>
        </w:rPr>
        <w:t>”).</w:t>
      </w:r>
    </w:p>
  </w:footnote>
  <w:footnote w:id="6">
    <w:p w14:paraId="784E1249" w14:textId="7D25B219" w:rsidR="00E27878" w:rsidRPr="00506713" w:rsidRDefault="00E27878" w:rsidP="00990568">
      <w:pPr>
        <w:pStyle w:val="FootnoteText"/>
        <w:ind w:left="0"/>
        <w:jc w:val="both"/>
        <w:rPr>
          <w:rFonts w:ascii="Times New Roman" w:hAnsi="Times New Roman" w:cs="Times New Roman"/>
        </w:rPr>
      </w:pPr>
      <w:r w:rsidRPr="00506713">
        <w:rPr>
          <w:rStyle w:val="FootnoteReference"/>
          <w:rFonts w:ascii="Times New Roman" w:hAnsi="Times New Roman" w:cs="Times New Roman"/>
        </w:rPr>
        <w:footnoteRef/>
      </w:r>
      <w:r w:rsidRPr="00506713">
        <w:rPr>
          <w:rFonts w:ascii="Times New Roman" w:hAnsi="Times New Roman" w:cs="Times New Roman"/>
        </w:rPr>
        <w:t xml:space="preserve"> </w:t>
      </w:r>
      <w:r w:rsidR="004274AF" w:rsidRPr="00506713">
        <w:rPr>
          <w:rFonts w:ascii="Times New Roman" w:hAnsi="Times New Roman" w:cs="Times New Roman"/>
        </w:rPr>
        <w:t>Breaches of primary obligations give rise to secondary (substituted) obligations on the part of the breaching party, and may</w:t>
      </w:r>
      <w:r w:rsidR="00E4350C" w:rsidRPr="00506713">
        <w:rPr>
          <w:rFonts w:ascii="Times New Roman" w:hAnsi="Times New Roman" w:cs="Times New Roman"/>
        </w:rPr>
        <w:t xml:space="preserve"> even</w:t>
      </w:r>
      <w:r w:rsidR="004274AF" w:rsidRPr="00506713">
        <w:rPr>
          <w:rFonts w:ascii="Times New Roman" w:hAnsi="Times New Roman" w:cs="Times New Roman"/>
        </w:rPr>
        <w:t xml:space="preserve"> </w:t>
      </w:r>
      <w:r w:rsidR="006C045C" w:rsidRPr="00506713">
        <w:rPr>
          <w:rFonts w:ascii="Times New Roman" w:hAnsi="Times New Roman" w:cs="Times New Roman"/>
        </w:rPr>
        <w:t xml:space="preserve">relieve </w:t>
      </w:r>
      <w:r w:rsidR="004274AF" w:rsidRPr="00506713">
        <w:rPr>
          <w:rFonts w:ascii="Times New Roman" w:hAnsi="Times New Roman" w:cs="Times New Roman"/>
        </w:rPr>
        <w:t xml:space="preserve">the innocent party from further performance of his own primary obligations. </w:t>
      </w:r>
      <w:r w:rsidR="008F735E" w:rsidRPr="00506713">
        <w:rPr>
          <w:rFonts w:ascii="Times New Roman" w:hAnsi="Times New Roman" w:cs="Times New Roman"/>
        </w:rPr>
        <w:t xml:space="preserve">For example, a </w:t>
      </w:r>
      <w:r w:rsidR="008D0405" w:rsidRPr="00506713">
        <w:rPr>
          <w:rFonts w:ascii="Times New Roman" w:hAnsi="Times New Roman" w:cs="Times New Roman"/>
        </w:rPr>
        <w:t xml:space="preserve">loan </w:t>
      </w:r>
      <w:r w:rsidR="008F735E" w:rsidRPr="00506713">
        <w:rPr>
          <w:rFonts w:ascii="Times New Roman" w:hAnsi="Times New Roman" w:cs="Times New Roman"/>
        </w:rPr>
        <w:t xml:space="preserve">contract may provide for A to repay B </w:t>
      </w:r>
      <w:r w:rsidR="008D0405" w:rsidRPr="00506713">
        <w:rPr>
          <w:rFonts w:ascii="Times New Roman" w:hAnsi="Times New Roman" w:cs="Times New Roman"/>
        </w:rPr>
        <w:t>the</w:t>
      </w:r>
      <w:r w:rsidR="008F735E" w:rsidRPr="00506713">
        <w:rPr>
          <w:rFonts w:ascii="Times New Roman" w:hAnsi="Times New Roman" w:cs="Times New Roman"/>
        </w:rPr>
        <w:t xml:space="preserve"> loan</w:t>
      </w:r>
      <w:r w:rsidR="008D0405" w:rsidRPr="00506713">
        <w:rPr>
          <w:rFonts w:ascii="Times New Roman" w:hAnsi="Times New Roman" w:cs="Times New Roman"/>
        </w:rPr>
        <w:t xml:space="preserve"> amount</w:t>
      </w:r>
      <w:r w:rsidR="008F735E" w:rsidRPr="00506713">
        <w:rPr>
          <w:rFonts w:ascii="Times New Roman" w:hAnsi="Times New Roman" w:cs="Times New Roman"/>
        </w:rPr>
        <w:t xml:space="preserve"> by a specified date</w:t>
      </w:r>
      <w:r w:rsidR="0039511C" w:rsidRPr="00506713">
        <w:rPr>
          <w:rFonts w:ascii="Times New Roman" w:hAnsi="Times New Roman" w:cs="Times New Roman"/>
        </w:rPr>
        <w:t>; further,</w:t>
      </w:r>
      <w:r w:rsidR="00BC6C81" w:rsidRPr="00506713">
        <w:rPr>
          <w:rFonts w:ascii="Times New Roman" w:hAnsi="Times New Roman" w:cs="Times New Roman"/>
        </w:rPr>
        <w:t xml:space="preserve"> </w:t>
      </w:r>
      <w:r w:rsidR="0039511C" w:rsidRPr="00506713">
        <w:rPr>
          <w:rFonts w:ascii="Times New Roman" w:hAnsi="Times New Roman" w:cs="Times New Roman"/>
        </w:rPr>
        <w:t>i</w:t>
      </w:r>
      <w:r w:rsidR="008F735E" w:rsidRPr="00506713">
        <w:rPr>
          <w:rFonts w:ascii="Times New Roman" w:hAnsi="Times New Roman" w:cs="Times New Roman"/>
        </w:rPr>
        <w:t xml:space="preserve">f A fails to do so by that date, A would have to pay an additional amount to B. Here, the obligation to repay by the specified date is </w:t>
      </w:r>
      <w:r w:rsidR="00BC6C81" w:rsidRPr="00506713">
        <w:rPr>
          <w:rFonts w:ascii="Times New Roman" w:hAnsi="Times New Roman" w:cs="Times New Roman"/>
        </w:rPr>
        <w:t>the</w:t>
      </w:r>
      <w:r w:rsidR="008F735E" w:rsidRPr="00506713">
        <w:rPr>
          <w:rFonts w:ascii="Times New Roman" w:hAnsi="Times New Roman" w:cs="Times New Roman"/>
        </w:rPr>
        <w:t xml:space="preserve"> </w:t>
      </w:r>
      <w:r w:rsidR="008F735E" w:rsidRPr="005A5992">
        <w:rPr>
          <w:rFonts w:ascii="Times New Roman" w:hAnsi="Times New Roman" w:cs="Times New Roman"/>
          <w:i/>
          <w:iCs/>
        </w:rPr>
        <w:t>primary</w:t>
      </w:r>
      <w:r w:rsidR="008F735E" w:rsidRPr="00506713">
        <w:rPr>
          <w:rFonts w:ascii="Times New Roman" w:hAnsi="Times New Roman" w:cs="Times New Roman"/>
        </w:rPr>
        <w:t xml:space="preserve"> obligation, while the obligation to pay the additional </w:t>
      </w:r>
      <w:r w:rsidR="00BC6C81" w:rsidRPr="00506713">
        <w:rPr>
          <w:rFonts w:ascii="Times New Roman" w:hAnsi="Times New Roman" w:cs="Times New Roman"/>
        </w:rPr>
        <w:t xml:space="preserve">amount </w:t>
      </w:r>
      <w:r w:rsidR="008F735E" w:rsidRPr="00506713">
        <w:rPr>
          <w:rFonts w:ascii="Times New Roman" w:hAnsi="Times New Roman" w:cs="Times New Roman"/>
        </w:rPr>
        <w:t xml:space="preserve">is a </w:t>
      </w:r>
      <w:r w:rsidR="008F735E" w:rsidRPr="005A5992">
        <w:rPr>
          <w:rFonts w:ascii="Times New Roman" w:hAnsi="Times New Roman" w:cs="Times New Roman"/>
          <w:i/>
          <w:iCs/>
        </w:rPr>
        <w:t>secondary</w:t>
      </w:r>
      <w:r w:rsidR="008F735E" w:rsidRPr="00506713">
        <w:rPr>
          <w:rFonts w:ascii="Times New Roman" w:hAnsi="Times New Roman" w:cs="Times New Roman"/>
        </w:rPr>
        <w:t xml:space="preserve"> obligation</w:t>
      </w:r>
      <w:r w:rsidR="0048600F" w:rsidRPr="00506713">
        <w:rPr>
          <w:rFonts w:ascii="Times New Roman" w:hAnsi="Times New Roman" w:cs="Times New Roman"/>
        </w:rPr>
        <w:t xml:space="preserve"> (</w:t>
      </w:r>
      <w:r w:rsidR="008F735E" w:rsidRPr="00506713">
        <w:rPr>
          <w:rFonts w:ascii="Times New Roman" w:hAnsi="Times New Roman" w:cs="Times New Roman"/>
        </w:rPr>
        <w:t>aris</w:t>
      </w:r>
      <w:r w:rsidR="00A7506F">
        <w:rPr>
          <w:rFonts w:ascii="Times New Roman" w:hAnsi="Times New Roman" w:cs="Times New Roman"/>
        </w:rPr>
        <w:t>ing</w:t>
      </w:r>
      <w:r w:rsidR="008F735E" w:rsidRPr="00506713">
        <w:rPr>
          <w:rFonts w:ascii="Times New Roman" w:hAnsi="Times New Roman" w:cs="Times New Roman"/>
        </w:rPr>
        <w:t xml:space="preserve"> only upon a breach of the primary obligation</w:t>
      </w:r>
      <w:r w:rsidR="0048600F" w:rsidRPr="00506713">
        <w:rPr>
          <w:rFonts w:ascii="Times New Roman" w:hAnsi="Times New Roman" w:cs="Times New Roman"/>
        </w:rPr>
        <w:t>)</w:t>
      </w:r>
      <w:r w:rsidR="008F735E" w:rsidRPr="0050671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45DD"/>
    <w:multiLevelType w:val="hybridMultilevel"/>
    <w:tmpl w:val="CD3060A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4090019">
      <w:start w:val="1"/>
      <w:numFmt w:val="lowerLetter"/>
      <w:lvlText w:val="%3."/>
      <w:lvlJc w:val="left"/>
      <w:pPr>
        <w:ind w:left="3060" w:hanging="36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524F25"/>
    <w:multiLevelType w:val="hybridMultilevel"/>
    <w:tmpl w:val="27CE94AC"/>
    <w:lvl w:ilvl="0" w:tplc="04090017">
      <w:start w:val="1"/>
      <w:numFmt w:val="lowerLetter"/>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0B555A54"/>
    <w:multiLevelType w:val="hybridMultilevel"/>
    <w:tmpl w:val="A3BCED18"/>
    <w:lvl w:ilvl="0" w:tplc="6F86E85E">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74E3"/>
    <w:multiLevelType w:val="hybridMultilevel"/>
    <w:tmpl w:val="53BA56BE"/>
    <w:lvl w:ilvl="0" w:tplc="0C1865E0">
      <w:start w:val="1"/>
      <w:numFmt w:val="upperRoman"/>
      <w:pStyle w:val="Heading1"/>
      <w:lvlText w:val="%1."/>
      <w:lvlJc w:val="left"/>
      <w:pPr>
        <w:ind w:left="1080" w:hanging="720"/>
      </w:pPr>
      <w:rPr>
        <w:rFonts w:ascii="TimesNewRomanPS" w:eastAsia="Times New Roman" w:hAnsi="TimesNewRomanP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14FFB"/>
    <w:multiLevelType w:val="hybridMultilevel"/>
    <w:tmpl w:val="9B0C9E8E"/>
    <w:lvl w:ilvl="0" w:tplc="4286A3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A786B"/>
    <w:multiLevelType w:val="hybridMultilevel"/>
    <w:tmpl w:val="0372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E743F"/>
    <w:multiLevelType w:val="hybridMultilevel"/>
    <w:tmpl w:val="D054B8A2"/>
    <w:lvl w:ilvl="0" w:tplc="A476C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D716B"/>
    <w:multiLevelType w:val="hybridMultilevel"/>
    <w:tmpl w:val="D48C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74E1"/>
    <w:multiLevelType w:val="hybridMultilevel"/>
    <w:tmpl w:val="5E1E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C20C0"/>
    <w:multiLevelType w:val="hybridMultilevel"/>
    <w:tmpl w:val="12FEF66C"/>
    <w:lvl w:ilvl="0" w:tplc="6F48B9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062D8"/>
    <w:multiLevelType w:val="hybridMultilevel"/>
    <w:tmpl w:val="D67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7552E"/>
    <w:multiLevelType w:val="hybridMultilevel"/>
    <w:tmpl w:val="3182D77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EAB0D43"/>
    <w:multiLevelType w:val="hybridMultilevel"/>
    <w:tmpl w:val="FDE61192"/>
    <w:lvl w:ilvl="0" w:tplc="8F148F64">
      <w:start w:val="1"/>
      <w:numFmt w:val="decimal"/>
      <w:pStyle w:val="Heading3"/>
      <w:lvlText w:val="(%1)"/>
      <w:lvlJc w:val="left"/>
      <w:pPr>
        <w:ind w:left="360" w:hanging="360"/>
      </w:pPr>
      <w:rPr>
        <w:rFonts w:hint="default"/>
        <w:lang w:val="en-SG"/>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146BFC"/>
    <w:multiLevelType w:val="hybridMultilevel"/>
    <w:tmpl w:val="874CFA8E"/>
    <w:lvl w:ilvl="0" w:tplc="9C5A90CA">
      <w:start w:val="1"/>
      <w:numFmt w:val="decimal"/>
      <w:lvlText w:val="%1"/>
      <w:lvlJc w:val="left"/>
      <w:pPr>
        <w:ind w:left="720" w:hanging="720"/>
      </w:pPr>
      <w:rPr>
        <w:rFonts w:hint="default"/>
        <w:i w:val="0"/>
        <w:iCs w:val="0"/>
        <w:strike w:val="0"/>
      </w:rPr>
    </w:lvl>
    <w:lvl w:ilvl="1" w:tplc="04090019">
      <w:start w:val="1"/>
      <w:numFmt w:val="lowerLetter"/>
      <w:lvlText w:val="%2."/>
      <w:lvlJc w:val="left"/>
      <w:pPr>
        <w:ind w:left="1298" w:hanging="360"/>
      </w:pPr>
    </w:lvl>
    <w:lvl w:ilvl="2" w:tplc="ED72C1B2">
      <w:start w:val="1"/>
      <w:numFmt w:val="lowerLetter"/>
      <w:lvlText w:val="(%3)"/>
      <w:lvlJc w:val="left"/>
      <w:pPr>
        <w:ind w:left="2198" w:hanging="360"/>
      </w:pPr>
      <w:rPr>
        <w:rFonts w:hint="default"/>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3"/>
  </w:num>
  <w:num w:numId="2">
    <w:abstractNumId w:val="2"/>
  </w:num>
  <w:num w:numId="3">
    <w:abstractNumId w:val="12"/>
  </w:num>
  <w:num w:numId="4">
    <w:abstractNumId w:val="13"/>
  </w:num>
  <w:num w:numId="5">
    <w:abstractNumId w:val="11"/>
  </w:num>
  <w:num w:numId="6">
    <w:abstractNumId w:val="9"/>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0"/>
  </w:num>
  <w:num w:numId="11">
    <w:abstractNumId w:val="1"/>
  </w:num>
  <w:num w:numId="12">
    <w:abstractNumId w:val="3"/>
    <w:lvlOverride w:ilvl="0">
      <w:startOverride w:val="1"/>
    </w:lvlOverride>
  </w:num>
  <w:num w:numId="13">
    <w:abstractNumId w:val="8"/>
  </w:num>
  <w:num w:numId="14">
    <w:abstractNumId w:val="5"/>
  </w:num>
  <w:num w:numId="15">
    <w:abstractNumId w:val="4"/>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89"/>
    <w:rsid w:val="000004E4"/>
    <w:rsid w:val="0000749C"/>
    <w:rsid w:val="000122A1"/>
    <w:rsid w:val="000226F8"/>
    <w:rsid w:val="0002400F"/>
    <w:rsid w:val="000349F0"/>
    <w:rsid w:val="00035E4E"/>
    <w:rsid w:val="000462D9"/>
    <w:rsid w:val="00047669"/>
    <w:rsid w:val="00055E1D"/>
    <w:rsid w:val="0005648D"/>
    <w:rsid w:val="000629E6"/>
    <w:rsid w:val="00065A20"/>
    <w:rsid w:val="000662D9"/>
    <w:rsid w:val="00066A87"/>
    <w:rsid w:val="000700BA"/>
    <w:rsid w:val="00081F0B"/>
    <w:rsid w:val="00083A6F"/>
    <w:rsid w:val="00083C6C"/>
    <w:rsid w:val="00084B83"/>
    <w:rsid w:val="0008706C"/>
    <w:rsid w:val="00091AB7"/>
    <w:rsid w:val="00091C0C"/>
    <w:rsid w:val="00092534"/>
    <w:rsid w:val="000946DA"/>
    <w:rsid w:val="000A0794"/>
    <w:rsid w:val="000A1012"/>
    <w:rsid w:val="000B0979"/>
    <w:rsid w:val="000B332A"/>
    <w:rsid w:val="000B7BED"/>
    <w:rsid w:val="000C1921"/>
    <w:rsid w:val="000C6748"/>
    <w:rsid w:val="000D6061"/>
    <w:rsid w:val="000D7017"/>
    <w:rsid w:val="000D727A"/>
    <w:rsid w:val="000D7297"/>
    <w:rsid w:val="000E1ECC"/>
    <w:rsid w:val="000E591B"/>
    <w:rsid w:val="000F39DA"/>
    <w:rsid w:val="000F50BE"/>
    <w:rsid w:val="000F55D4"/>
    <w:rsid w:val="00111048"/>
    <w:rsid w:val="00112A1A"/>
    <w:rsid w:val="00117090"/>
    <w:rsid w:val="00135FA0"/>
    <w:rsid w:val="00136C0F"/>
    <w:rsid w:val="00141EF1"/>
    <w:rsid w:val="001459EC"/>
    <w:rsid w:val="00152C9E"/>
    <w:rsid w:val="00153090"/>
    <w:rsid w:val="001531B2"/>
    <w:rsid w:val="0015514E"/>
    <w:rsid w:val="00155AC2"/>
    <w:rsid w:val="00156927"/>
    <w:rsid w:val="001577EE"/>
    <w:rsid w:val="001614AF"/>
    <w:rsid w:val="00161F0E"/>
    <w:rsid w:val="001650DE"/>
    <w:rsid w:val="00165312"/>
    <w:rsid w:val="00166562"/>
    <w:rsid w:val="00167C55"/>
    <w:rsid w:val="001720C5"/>
    <w:rsid w:val="00175865"/>
    <w:rsid w:val="0017760D"/>
    <w:rsid w:val="00181F56"/>
    <w:rsid w:val="00181F66"/>
    <w:rsid w:val="00182CF6"/>
    <w:rsid w:val="001924D0"/>
    <w:rsid w:val="00193765"/>
    <w:rsid w:val="00196906"/>
    <w:rsid w:val="00196CE1"/>
    <w:rsid w:val="001A0674"/>
    <w:rsid w:val="001A2C41"/>
    <w:rsid w:val="001A58F9"/>
    <w:rsid w:val="001A7D11"/>
    <w:rsid w:val="001B0F5D"/>
    <w:rsid w:val="001B0FD0"/>
    <w:rsid w:val="001B10EE"/>
    <w:rsid w:val="001B376C"/>
    <w:rsid w:val="001B5100"/>
    <w:rsid w:val="001B6C5B"/>
    <w:rsid w:val="001C1200"/>
    <w:rsid w:val="001C7DD0"/>
    <w:rsid w:val="001D27BD"/>
    <w:rsid w:val="001D3FBB"/>
    <w:rsid w:val="001D50ED"/>
    <w:rsid w:val="001D58BF"/>
    <w:rsid w:val="001E4EF8"/>
    <w:rsid w:val="001E5311"/>
    <w:rsid w:val="001E56DF"/>
    <w:rsid w:val="001F5BF8"/>
    <w:rsid w:val="00201C72"/>
    <w:rsid w:val="00201E87"/>
    <w:rsid w:val="002068C2"/>
    <w:rsid w:val="00213EEF"/>
    <w:rsid w:val="00214EC2"/>
    <w:rsid w:val="002151FC"/>
    <w:rsid w:val="00217C30"/>
    <w:rsid w:val="002203A5"/>
    <w:rsid w:val="002218DE"/>
    <w:rsid w:val="00222E07"/>
    <w:rsid w:val="00225CB1"/>
    <w:rsid w:val="00226416"/>
    <w:rsid w:val="00233A13"/>
    <w:rsid w:val="0023531C"/>
    <w:rsid w:val="00235BCD"/>
    <w:rsid w:val="0024023C"/>
    <w:rsid w:val="002410AF"/>
    <w:rsid w:val="002477C3"/>
    <w:rsid w:val="00250AB8"/>
    <w:rsid w:val="00251393"/>
    <w:rsid w:val="002519A2"/>
    <w:rsid w:val="002567D1"/>
    <w:rsid w:val="00257426"/>
    <w:rsid w:val="0026049C"/>
    <w:rsid w:val="00264BE4"/>
    <w:rsid w:val="0026751D"/>
    <w:rsid w:val="00270AD6"/>
    <w:rsid w:val="00270EEB"/>
    <w:rsid w:val="00273D8E"/>
    <w:rsid w:val="0027450C"/>
    <w:rsid w:val="00285AF7"/>
    <w:rsid w:val="00286452"/>
    <w:rsid w:val="00286FE1"/>
    <w:rsid w:val="0029165D"/>
    <w:rsid w:val="00293003"/>
    <w:rsid w:val="00293F6C"/>
    <w:rsid w:val="00295739"/>
    <w:rsid w:val="002A19A6"/>
    <w:rsid w:val="002A30D1"/>
    <w:rsid w:val="002A4303"/>
    <w:rsid w:val="002A7E79"/>
    <w:rsid w:val="002B4EC5"/>
    <w:rsid w:val="002B5662"/>
    <w:rsid w:val="002B57ED"/>
    <w:rsid w:val="002C69C6"/>
    <w:rsid w:val="002C7E66"/>
    <w:rsid w:val="002D6239"/>
    <w:rsid w:val="002E0594"/>
    <w:rsid w:val="002E3780"/>
    <w:rsid w:val="002F0D45"/>
    <w:rsid w:val="002F45BA"/>
    <w:rsid w:val="002F46A2"/>
    <w:rsid w:val="002F4BAA"/>
    <w:rsid w:val="002F66B9"/>
    <w:rsid w:val="003017A0"/>
    <w:rsid w:val="00303684"/>
    <w:rsid w:val="00303E20"/>
    <w:rsid w:val="003125B9"/>
    <w:rsid w:val="0031619F"/>
    <w:rsid w:val="003161BE"/>
    <w:rsid w:val="00321917"/>
    <w:rsid w:val="00325474"/>
    <w:rsid w:val="00326479"/>
    <w:rsid w:val="00326FCD"/>
    <w:rsid w:val="003336CD"/>
    <w:rsid w:val="003350A6"/>
    <w:rsid w:val="00335313"/>
    <w:rsid w:val="00335EA4"/>
    <w:rsid w:val="003378BB"/>
    <w:rsid w:val="0034306E"/>
    <w:rsid w:val="00343641"/>
    <w:rsid w:val="00351657"/>
    <w:rsid w:val="003518FF"/>
    <w:rsid w:val="00353DC7"/>
    <w:rsid w:val="0036045C"/>
    <w:rsid w:val="00361FD1"/>
    <w:rsid w:val="00364B9B"/>
    <w:rsid w:val="00365554"/>
    <w:rsid w:val="00365569"/>
    <w:rsid w:val="00365696"/>
    <w:rsid w:val="00370114"/>
    <w:rsid w:val="00372261"/>
    <w:rsid w:val="00372D78"/>
    <w:rsid w:val="00376188"/>
    <w:rsid w:val="0038050D"/>
    <w:rsid w:val="003837FE"/>
    <w:rsid w:val="0038685E"/>
    <w:rsid w:val="00390704"/>
    <w:rsid w:val="0039336F"/>
    <w:rsid w:val="0039511C"/>
    <w:rsid w:val="00396710"/>
    <w:rsid w:val="003A15F8"/>
    <w:rsid w:val="003A1C9E"/>
    <w:rsid w:val="003A37D3"/>
    <w:rsid w:val="003B3C5E"/>
    <w:rsid w:val="003B4561"/>
    <w:rsid w:val="003B73B2"/>
    <w:rsid w:val="003C0563"/>
    <w:rsid w:val="003C2614"/>
    <w:rsid w:val="003C3D76"/>
    <w:rsid w:val="003D2555"/>
    <w:rsid w:val="003D3156"/>
    <w:rsid w:val="003D5A0F"/>
    <w:rsid w:val="003E2714"/>
    <w:rsid w:val="003E4C01"/>
    <w:rsid w:val="003F03BD"/>
    <w:rsid w:val="003F1A43"/>
    <w:rsid w:val="003F1E60"/>
    <w:rsid w:val="003F4481"/>
    <w:rsid w:val="003F5563"/>
    <w:rsid w:val="003F6190"/>
    <w:rsid w:val="00401971"/>
    <w:rsid w:val="00402CC5"/>
    <w:rsid w:val="00405420"/>
    <w:rsid w:val="00411CF9"/>
    <w:rsid w:val="004159DB"/>
    <w:rsid w:val="004259C9"/>
    <w:rsid w:val="00425E92"/>
    <w:rsid w:val="00426481"/>
    <w:rsid w:val="004274AF"/>
    <w:rsid w:val="00432AF0"/>
    <w:rsid w:val="0044081B"/>
    <w:rsid w:val="00443DF4"/>
    <w:rsid w:val="00450456"/>
    <w:rsid w:val="004511A9"/>
    <w:rsid w:val="004545AB"/>
    <w:rsid w:val="00462FAF"/>
    <w:rsid w:val="00470436"/>
    <w:rsid w:val="00470F0C"/>
    <w:rsid w:val="00471E13"/>
    <w:rsid w:val="004853EA"/>
    <w:rsid w:val="0048600F"/>
    <w:rsid w:val="0048769C"/>
    <w:rsid w:val="0049170A"/>
    <w:rsid w:val="004920ED"/>
    <w:rsid w:val="00495CA5"/>
    <w:rsid w:val="00495F05"/>
    <w:rsid w:val="004A0F52"/>
    <w:rsid w:val="004A166B"/>
    <w:rsid w:val="004B3BE3"/>
    <w:rsid w:val="004B59D4"/>
    <w:rsid w:val="004B6F33"/>
    <w:rsid w:val="004C12D6"/>
    <w:rsid w:val="004C1629"/>
    <w:rsid w:val="004C1F2B"/>
    <w:rsid w:val="004C2048"/>
    <w:rsid w:val="004C2E1E"/>
    <w:rsid w:val="004C331E"/>
    <w:rsid w:val="004C706B"/>
    <w:rsid w:val="004D1336"/>
    <w:rsid w:val="004D261B"/>
    <w:rsid w:val="004D5699"/>
    <w:rsid w:val="004E1113"/>
    <w:rsid w:val="004E28F2"/>
    <w:rsid w:val="004E4A0D"/>
    <w:rsid w:val="004E564C"/>
    <w:rsid w:val="004E6174"/>
    <w:rsid w:val="004F0AE2"/>
    <w:rsid w:val="004F391A"/>
    <w:rsid w:val="004F4885"/>
    <w:rsid w:val="00502E9F"/>
    <w:rsid w:val="0050506C"/>
    <w:rsid w:val="00506713"/>
    <w:rsid w:val="00506976"/>
    <w:rsid w:val="00507522"/>
    <w:rsid w:val="0051065D"/>
    <w:rsid w:val="005115ED"/>
    <w:rsid w:val="00513709"/>
    <w:rsid w:val="005145ED"/>
    <w:rsid w:val="00517A8A"/>
    <w:rsid w:val="00524759"/>
    <w:rsid w:val="005266CE"/>
    <w:rsid w:val="0054534E"/>
    <w:rsid w:val="0054682A"/>
    <w:rsid w:val="00552595"/>
    <w:rsid w:val="005531F1"/>
    <w:rsid w:val="005542EF"/>
    <w:rsid w:val="00555A04"/>
    <w:rsid w:val="00555F4E"/>
    <w:rsid w:val="005637A0"/>
    <w:rsid w:val="00565727"/>
    <w:rsid w:val="005705CC"/>
    <w:rsid w:val="0057360D"/>
    <w:rsid w:val="005736C4"/>
    <w:rsid w:val="00581175"/>
    <w:rsid w:val="00582553"/>
    <w:rsid w:val="00583E8C"/>
    <w:rsid w:val="00584045"/>
    <w:rsid w:val="00587D78"/>
    <w:rsid w:val="005946E2"/>
    <w:rsid w:val="005A0456"/>
    <w:rsid w:val="005A5617"/>
    <w:rsid w:val="005A5992"/>
    <w:rsid w:val="005A68C1"/>
    <w:rsid w:val="005B1E55"/>
    <w:rsid w:val="005B4BC1"/>
    <w:rsid w:val="005C3074"/>
    <w:rsid w:val="005C703B"/>
    <w:rsid w:val="005D1DCC"/>
    <w:rsid w:val="005D3BBC"/>
    <w:rsid w:val="005E0817"/>
    <w:rsid w:val="005E2F55"/>
    <w:rsid w:val="005E62A0"/>
    <w:rsid w:val="005F2992"/>
    <w:rsid w:val="005F6BDF"/>
    <w:rsid w:val="00600449"/>
    <w:rsid w:val="0060125D"/>
    <w:rsid w:val="00605B59"/>
    <w:rsid w:val="00606765"/>
    <w:rsid w:val="00612476"/>
    <w:rsid w:val="00614C16"/>
    <w:rsid w:val="00623105"/>
    <w:rsid w:val="006326F0"/>
    <w:rsid w:val="00634F33"/>
    <w:rsid w:val="00643B8C"/>
    <w:rsid w:val="00643E50"/>
    <w:rsid w:val="00645904"/>
    <w:rsid w:val="00657B28"/>
    <w:rsid w:val="00662016"/>
    <w:rsid w:val="00666C48"/>
    <w:rsid w:val="00667D79"/>
    <w:rsid w:val="006726ED"/>
    <w:rsid w:val="00675243"/>
    <w:rsid w:val="00677E41"/>
    <w:rsid w:val="00686F59"/>
    <w:rsid w:val="006910BD"/>
    <w:rsid w:val="00691C81"/>
    <w:rsid w:val="00692387"/>
    <w:rsid w:val="006A2FFC"/>
    <w:rsid w:val="006A40DA"/>
    <w:rsid w:val="006A4C7E"/>
    <w:rsid w:val="006A6B3C"/>
    <w:rsid w:val="006B4D3A"/>
    <w:rsid w:val="006B55FF"/>
    <w:rsid w:val="006B74CC"/>
    <w:rsid w:val="006C045C"/>
    <w:rsid w:val="006C3755"/>
    <w:rsid w:val="006C5BC6"/>
    <w:rsid w:val="006D00F7"/>
    <w:rsid w:val="006D0125"/>
    <w:rsid w:val="006D1FA6"/>
    <w:rsid w:val="006D39BD"/>
    <w:rsid w:val="006D4A8E"/>
    <w:rsid w:val="006D4F2F"/>
    <w:rsid w:val="006E03A3"/>
    <w:rsid w:val="006E06C8"/>
    <w:rsid w:val="006E7477"/>
    <w:rsid w:val="006E7B9D"/>
    <w:rsid w:val="006F0314"/>
    <w:rsid w:val="006F4DFA"/>
    <w:rsid w:val="006F6BA1"/>
    <w:rsid w:val="006F7EB9"/>
    <w:rsid w:val="007005EF"/>
    <w:rsid w:val="00700DFA"/>
    <w:rsid w:val="007014E0"/>
    <w:rsid w:val="00703B22"/>
    <w:rsid w:val="00704744"/>
    <w:rsid w:val="00704E9B"/>
    <w:rsid w:val="00705D97"/>
    <w:rsid w:val="00706CA3"/>
    <w:rsid w:val="00706F1F"/>
    <w:rsid w:val="007111F7"/>
    <w:rsid w:val="00712EB2"/>
    <w:rsid w:val="00721C14"/>
    <w:rsid w:val="007235A7"/>
    <w:rsid w:val="00723612"/>
    <w:rsid w:val="00724C35"/>
    <w:rsid w:val="0072614E"/>
    <w:rsid w:val="00726723"/>
    <w:rsid w:val="00731405"/>
    <w:rsid w:val="007327B0"/>
    <w:rsid w:val="007420D6"/>
    <w:rsid w:val="00752C1D"/>
    <w:rsid w:val="0075548D"/>
    <w:rsid w:val="007605DF"/>
    <w:rsid w:val="007628BE"/>
    <w:rsid w:val="00763A9C"/>
    <w:rsid w:val="00764935"/>
    <w:rsid w:val="00764ED0"/>
    <w:rsid w:val="00770501"/>
    <w:rsid w:val="00770D88"/>
    <w:rsid w:val="00774B5B"/>
    <w:rsid w:val="00774C06"/>
    <w:rsid w:val="00774EED"/>
    <w:rsid w:val="00782F48"/>
    <w:rsid w:val="00783B28"/>
    <w:rsid w:val="00784286"/>
    <w:rsid w:val="0078676E"/>
    <w:rsid w:val="007930EA"/>
    <w:rsid w:val="00797DDF"/>
    <w:rsid w:val="007A1546"/>
    <w:rsid w:val="007A2232"/>
    <w:rsid w:val="007A24DF"/>
    <w:rsid w:val="007A5A1F"/>
    <w:rsid w:val="007A7C1F"/>
    <w:rsid w:val="007B45FF"/>
    <w:rsid w:val="007B5210"/>
    <w:rsid w:val="007B6473"/>
    <w:rsid w:val="007B7B8D"/>
    <w:rsid w:val="007C1936"/>
    <w:rsid w:val="007C1A99"/>
    <w:rsid w:val="007C2228"/>
    <w:rsid w:val="007C3537"/>
    <w:rsid w:val="007C427A"/>
    <w:rsid w:val="007D4216"/>
    <w:rsid w:val="007D421F"/>
    <w:rsid w:val="007D701D"/>
    <w:rsid w:val="007E0032"/>
    <w:rsid w:val="007E28D3"/>
    <w:rsid w:val="007E6E3F"/>
    <w:rsid w:val="007F0DAE"/>
    <w:rsid w:val="007F3BF4"/>
    <w:rsid w:val="007F6D2B"/>
    <w:rsid w:val="008002CD"/>
    <w:rsid w:val="00804C54"/>
    <w:rsid w:val="008051F2"/>
    <w:rsid w:val="0080649A"/>
    <w:rsid w:val="0081315D"/>
    <w:rsid w:val="008210CD"/>
    <w:rsid w:val="0082394F"/>
    <w:rsid w:val="0082628A"/>
    <w:rsid w:val="008276C9"/>
    <w:rsid w:val="008322F5"/>
    <w:rsid w:val="008328D7"/>
    <w:rsid w:val="00833A56"/>
    <w:rsid w:val="00833AC3"/>
    <w:rsid w:val="008403DF"/>
    <w:rsid w:val="00840972"/>
    <w:rsid w:val="008452FD"/>
    <w:rsid w:val="00851A52"/>
    <w:rsid w:val="00851E33"/>
    <w:rsid w:val="00852B04"/>
    <w:rsid w:val="008552D8"/>
    <w:rsid w:val="00860601"/>
    <w:rsid w:val="008719CA"/>
    <w:rsid w:val="008755F9"/>
    <w:rsid w:val="00875EF7"/>
    <w:rsid w:val="008763DB"/>
    <w:rsid w:val="0089167A"/>
    <w:rsid w:val="00892C4E"/>
    <w:rsid w:val="008A40BB"/>
    <w:rsid w:val="008A467D"/>
    <w:rsid w:val="008A545A"/>
    <w:rsid w:val="008B4D30"/>
    <w:rsid w:val="008B5D43"/>
    <w:rsid w:val="008C4038"/>
    <w:rsid w:val="008D0405"/>
    <w:rsid w:val="008D30B8"/>
    <w:rsid w:val="008D7875"/>
    <w:rsid w:val="008E14C7"/>
    <w:rsid w:val="008E2597"/>
    <w:rsid w:val="008E452D"/>
    <w:rsid w:val="008E4C57"/>
    <w:rsid w:val="008F07EE"/>
    <w:rsid w:val="008F315F"/>
    <w:rsid w:val="008F667A"/>
    <w:rsid w:val="008F735E"/>
    <w:rsid w:val="008F7EFB"/>
    <w:rsid w:val="0090107C"/>
    <w:rsid w:val="0090222C"/>
    <w:rsid w:val="0090609E"/>
    <w:rsid w:val="00912A1A"/>
    <w:rsid w:val="00915CE5"/>
    <w:rsid w:val="00925821"/>
    <w:rsid w:val="00931D70"/>
    <w:rsid w:val="0093220B"/>
    <w:rsid w:val="00933AC9"/>
    <w:rsid w:val="00934407"/>
    <w:rsid w:val="009409AB"/>
    <w:rsid w:val="00944F5D"/>
    <w:rsid w:val="00946BDC"/>
    <w:rsid w:val="00952E2B"/>
    <w:rsid w:val="00955855"/>
    <w:rsid w:val="009655A1"/>
    <w:rsid w:val="009658F3"/>
    <w:rsid w:val="00965C34"/>
    <w:rsid w:val="009704B8"/>
    <w:rsid w:val="00973BBE"/>
    <w:rsid w:val="00974F06"/>
    <w:rsid w:val="00981199"/>
    <w:rsid w:val="0098290F"/>
    <w:rsid w:val="009845E1"/>
    <w:rsid w:val="00986C9F"/>
    <w:rsid w:val="0099023C"/>
    <w:rsid w:val="00990568"/>
    <w:rsid w:val="00991536"/>
    <w:rsid w:val="0099754B"/>
    <w:rsid w:val="009A5F92"/>
    <w:rsid w:val="009B1F86"/>
    <w:rsid w:val="009B6359"/>
    <w:rsid w:val="009B77E4"/>
    <w:rsid w:val="009C1146"/>
    <w:rsid w:val="009C6556"/>
    <w:rsid w:val="009C7841"/>
    <w:rsid w:val="009D2C26"/>
    <w:rsid w:val="009E0068"/>
    <w:rsid w:val="009E0420"/>
    <w:rsid w:val="009E0710"/>
    <w:rsid w:val="009E0875"/>
    <w:rsid w:val="009E0A13"/>
    <w:rsid w:val="009E255E"/>
    <w:rsid w:val="009E4A80"/>
    <w:rsid w:val="009F5557"/>
    <w:rsid w:val="00A00C30"/>
    <w:rsid w:val="00A04EAE"/>
    <w:rsid w:val="00A07089"/>
    <w:rsid w:val="00A1520A"/>
    <w:rsid w:val="00A16133"/>
    <w:rsid w:val="00A2113E"/>
    <w:rsid w:val="00A23120"/>
    <w:rsid w:val="00A30F74"/>
    <w:rsid w:val="00A323A6"/>
    <w:rsid w:val="00A3680B"/>
    <w:rsid w:val="00A375C0"/>
    <w:rsid w:val="00A42B06"/>
    <w:rsid w:val="00A42B2F"/>
    <w:rsid w:val="00A469B2"/>
    <w:rsid w:val="00A46C86"/>
    <w:rsid w:val="00A47150"/>
    <w:rsid w:val="00A47863"/>
    <w:rsid w:val="00A478AF"/>
    <w:rsid w:val="00A655BC"/>
    <w:rsid w:val="00A67B0A"/>
    <w:rsid w:val="00A719DB"/>
    <w:rsid w:val="00A74AC2"/>
    <w:rsid w:val="00A7506F"/>
    <w:rsid w:val="00A93B81"/>
    <w:rsid w:val="00A94A54"/>
    <w:rsid w:val="00A972F4"/>
    <w:rsid w:val="00AA17E9"/>
    <w:rsid w:val="00AA2430"/>
    <w:rsid w:val="00AB16CA"/>
    <w:rsid w:val="00AB2EC6"/>
    <w:rsid w:val="00AB391D"/>
    <w:rsid w:val="00AB4CBB"/>
    <w:rsid w:val="00AB7EC6"/>
    <w:rsid w:val="00AC10D7"/>
    <w:rsid w:val="00AC455A"/>
    <w:rsid w:val="00AC5B56"/>
    <w:rsid w:val="00AD07C5"/>
    <w:rsid w:val="00AD3E6A"/>
    <w:rsid w:val="00AD5337"/>
    <w:rsid w:val="00AE546A"/>
    <w:rsid w:val="00AF35D8"/>
    <w:rsid w:val="00AF5525"/>
    <w:rsid w:val="00B04F5C"/>
    <w:rsid w:val="00B0500B"/>
    <w:rsid w:val="00B07B45"/>
    <w:rsid w:val="00B11F25"/>
    <w:rsid w:val="00B14AB1"/>
    <w:rsid w:val="00B15F00"/>
    <w:rsid w:val="00B16912"/>
    <w:rsid w:val="00B21E9E"/>
    <w:rsid w:val="00B22881"/>
    <w:rsid w:val="00B22CC1"/>
    <w:rsid w:val="00B236B9"/>
    <w:rsid w:val="00B23FEF"/>
    <w:rsid w:val="00B263BE"/>
    <w:rsid w:val="00B30A8B"/>
    <w:rsid w:val="00B31C5E"/>
    <w:rsid w:val="00B32B8D"/>
    <w:rsid w:val="00B40DE1"/>
    <w:rsid w:val="00B41886"/>
    <w:rsid w:val="00B51B57"/>
    <w:rsid w:val="00B51DDC"/>
    <w:rsid w:val="00B54E38"/>
    <w:rsid w:val="00B61834"/>
    <w:rsid w:val="00B61A9B"/>
    <w:rsid w:val="00B6332B"/>
    <w:rsid w:val="00B8201E"/>
    <w:rsid w:val="00B86B07"/>
    <w:rsid w:val="00B878DF"/>
    <w:rsid w:val="00B87B20"/>
    <w:rsid w:val="00BA20CD"/>
    <w:rsid w:val="00BA5302"/>
    <w:rsid w:val="00BA57F4"/>
    <w:rsid w:val="00BB1606"/>
    <w:rsid w:val="00BB60C4"/>
    <w:rsid w:val="00BB7285"/>
    <w:rsid w:val="00BC1112"/>
    <w:rsid w:val="00BC4265"/>
    <w:rsid w:val="00BC6C81"/>
    <w:rsid w:val="00BD0BDA"/>
    <w:rsid w:val="00BD2B27"/>
    <w:rsid w:val="00BD4181"/>
    <w:rsid w:val="00BD785C"/>
    <w:rsid w:val="00BE20FA"/>
    <w:rsid w:val="00BE3201"/>
    <w:rsid w:val="00BE33EE"/>
    <w:rsid w:val="00BE5D41"/>
    <w:rsid w:val="00BF588B"/>
    <w:rsid w:val="00C0062A"/>
    <w:rsid w:val="00C00818"/>
    <w:rsid w:val="00C009AD"/>
    <w:rsid w:val="00C023B6"/>
    <w:rsid w:val="00C034BD"/>
    <w:rsid w:val="00C07E8D"/>
    <w:rsid w:val="00C13BBD"/>
    <w:rsid w:val="00C1436E"/>
    <w:rsid w:val="00C1512D"/>
    <w:rsid w:val="00C30167"/>
    <w:rsid w:val="00C335C2"/>
    <w:rsid w:val="00C45EB6"/>
    <w:rsid w:val="00C4765B"/>
    <w:rsid w:val="00C50B4F"/>
    <w:rsid w:val="00C52A52"/>
    <w:rsid w:val="00C54ED6"/>
    <w:rsid w:val="00C5519D"/>
    <w:rsid w:val="00C56540"/>
    <w:rsid w:val="00C57DFB"/>
    <w:rsid w:val="00C6234F"/>
    <w:rsid w:val="00C6507B"/>
    <w:rsid w:val="00C66C51"/>
    <w:rsid w:val="00C67130"/>
    <w:rsid w:val="00C769E9"/>
    <w:rsid w:val="00C76A97"/>
    <w:rsid w:val="00C77B9E"/>
    <w:rsid w:val="00C80E3D"/>
    <w:rsid w:val="00C82473"/>
    <w:rsid w:val="00C84793"/>
    <w:rsid w:val="00C8743B"/>
    <w:rsid w:val="00C94ED5"/>
    <w:rsid w:val="00CA5A75"/>
    <w:rsid w:val="00CB13BB"/>
    <w:rsid w:val="00CB2C60"/>
    <w:rsid w:val="00CB3CA4"/>
    <w:rsid w:val="00CC2D02"/>
    <w:rsid w:val="00CC3F7F"/>
    <w:rsid w:val="00CC7DC6"/>
    <w:rsid w:val="00CF0D85"/>
    <w:rsid w:val="00CF23A9"/>
    <w:rsid w:val="00CF512B"/>
    <w:rsid w:val="00D06DDD"/>
    <w:rsid w:val="00D14746"/>
    <w:rsid w:val="00D248FB"/>
    <w:rsid w:val="00D32277"/>
    <w:rsid w:val="00D324FA"/>
    <w:rsid w:val="00D32F5E"/>
    <w:rsid w:val="00D37CD6"/>
    <w:rsid w:val="00D37D68"/>
    <w:rsid w:val="00D5119A"/>
    <w:rsid w:val="00D52FCF"/>
    <w:rsid w:val="00D53B49"/>
    <w:rsid w:val="00D5484F"/>
    <w:rsid w:val="00D577AA"/>
    <w:rsid w:val="00D64EE0"/>
    <w:rsid w:val="00D7312C"/>
    <w:rsid w:val="00D76119"/>
    <w:rsid w:val="00D76AB1"/>
    <w:rsid w:val="00D859CE"/>
    <w:rsid w:val="00D95724"/>
    <w:rsid w:val="00DA1B64"/>
    <w:rsid w:val="00DA2ACB"/>
    <w:rsid w:val="00DA3EC5"/>
    <w:rsid w:val="00DA534C"/>
    <w:rsid w:val="00DA6C67"/>
    <w:rsid w:val="00DA766B"/>
    <w:rsid w:val="00DB0D12"/>
    <w:rsid w:val="00DB23D6"/>
    <w:rsid w:val="00DB3BE1"/>
    <w:rsid w:val="00DB547C"/>
    <w:rsid w:val="00DB5EE8"/>
    <w:rsid w:val="00DC0A90"/>
    <w:rsid w:val="00DC2A8A"/>
    <w:rsid w:val="00DC2AA1"/>
    <w:rsid w:val="00DC5509"/>
    <w:rsid w:val="00DC5593"/>
    <w:rsid w:val="00DC7739"/>
    <w:rsid w:val="00DE0E0E"/>
    <w:rsid w:val="00DE468D"/>
    <w:rsid w:val="00DE6014"/>
    <w:rsid w:val="00DF053B"/>
    <w:rsid w:val="00DF0553"/>
    <w:rsid w:val="00DF45B1"/>
    <w:rsid w:val="00DF5901"/>
    <w:rsid w:val="00E02A2A"/>
    <w:rsid w:val="00E0742D"/>
    <w:rsid w:val="00E11353"/>
    <w:rsid w:val="00E1318A"/>
    <w:rsid w:val="00E154CB"/>
    <w:rsid w:val="00E170EE"/>
    <w:rsid w:val="00E20FD1"/>
    <w:rsid w:val="00E27878"/>
    <w:rsid w:val="00E41E28"/>
    <w:rsid w:val="00E4350C"/>
    <w:rsid w:val="00E47DF3"/>
    <w:rsid w:val="00E513B8"/>
    <w:rsid w:val="00E519E7"/>
    <w:rsid w:val="00E53243"/>
    <w:rsid w:val="00E56D27"/>
    <w:rsid w:val="00E603C8"/>
    <w:rsid w:val="00E61669"/>
    <w:rsid w:val="00E64E59"/>
    <w:rsid w:val="00E666EB"/>
    <w:rsid w:val="00E734E9"/>
    <w:rsid w:val="00E7583B"/>
    <w:rsid w:val="00E7792A"/>
    <w:rsid w:val="00E835AE"/>
    <w:rsid w:val="00E83702"/>
    <w:rsid w:val="00E837EF"/>
    <w:rsid w:val="00E83AFE"/>
    <w:rsid w:val="00E8401C"/>
    <w:rsid w:val="00E85491"/>
    <w:rsid w:val="00E90EC0"/>
    <w:rsid w:val="00E97940"/>
    <w:rsid w:val="00EA03DA"/>
    <w:rsid w:val="00EA041B"/>
    <w:rsid w:val="00EA1D34"/>
    <w:rsid w:val="00EA43F6"/>
    <w:rsid w:val="00EA5200"/>
    <w:rsid w:val="00EA68F5"/>
    <w:rsid w:val="00EB0A6C"/>
    <w:rsid w:val="00EB1917"/>
    <w:rsid w:val="00EB57A8"/>
    <w:rsid w:val="00EC41A7"/>
    <w:rsid w:val="00ED296C"/>
    <w:rsid w:val="00ED6271"/>
    <w:rsid w:val="00EE0484"/>
    <w:rsid w:val="00EE1D4A"/>
    <w:rsid w:val="00EE597D"/>
    <w:rsid w:val="00EE5B89"/>
    <w:rsid w:val="00EE62FF"/>
    <w:rsid w:val="00EE7E96"/>
    <w:rsid w:val="00EF0264"/>
    <w:rsid w:val="00EF0A8C"/>
    <w:rsid w:val="00EF1B6A"/>
    <w:rsid w:val="00EF4C14"/>
    <w:rsid w:val="00EF52DB"/>
    <w:rsid w:val="00EF60D4"/>
    <w:rsid w:val="00F000AF"/>
    <w:rsid w:val="00F013F4"/>
    <w:rsid w:val="00F02D12"/>
    <w:rsid w:val="00F03311"/>
    <w:rsid w:val="00F040FE"/>
    <w:rsid w:val="00F12073"/>
    <w:rsid w:val="00F12551"/>
    <w:rsid w:val="00F12709"/>
    <w:rsid w:val="00F15667"/>
    <w:rsid w:val="00F246CA"/>
    <w:rsid w:val="00F2484F"/>
    <w:rsid w:val="00F27947"/>
    <w:rsid w:val="00F31E7C"/>
    <w:rsid w:val="00F35BD2"/>
    <w:rsid w:val="00F4147A"/>
    <w:rsid w:val="00F56CAE"/>
    <w:rsid w:val="00F613EB"/>
    <w:rsid w:val="00F64C8A"/>
    <w:rsid w:val="00F6660B"/>
    <w:rsid w:val="00F67235"/>
    <w:rsid w:val="00F67BA2"/>
    <w:rsid w:val="00F7209A"/>
    <w:rsid w:val="00F77570"/>
    <w:rsid w:val="00F81885"/>
    <w:rsid w:val="00F829BE"/>
    <w:rsid w:val="00F83217"/>
    <w:rsid w:val="00F83459"/>
    <w:rsid w:val="00F90982"/>
    <w:rsid w:val="00F9736E"/>
    <w:rsid w:val="00F9769F"/>
    <w:rsid w:val="00FA5FC4"/>
    <w:rsid w:val="00FB317D"/>
    <w:rsid w:val="00FB5710"/>
    <w:rsid w:val="00FB7360"/>
    <w:rsid w:val="00FB7AB6"/>
    <w:rsid w:val="00FC02E1"/>
    <w:rsid w:val="00FC2732"/>
    <w:rsid w:val="00FC48D0"/>
    <w:rsid w:val="00FC5B35"/>
    <w:rsid w:val="00FC5C5C"/>
    <w:rsid w:val="00FC7448"/>
    <w:rsid w:val="00FD0841"/>
    <w:rsid w:val="00FD187F"/>
    <w:rsid w:val="00FD5C1A"/>
    <w:rsid w:val="00FD6E81"/>
    <w:rsid w:val="00FE0C64"/>
    <w:rsid w:val="00FE19BF"/>
    <w:rsid w:val="00FE2A32"/>
    <w:rsid w:val="00FF259B"/>
    <w:rsid w:val="00FF47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953BF"/>
  <w15:chartTrackingRefBased/>
  <w15:docId w15:val="{F251BBDD-7260-D145-9AD0-3528065E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en-US" w:bidi="ar-SA"/>
      </w:rPr>
    </w:rPrDefault>
    <w:pPrDefault>
      <w:pPr>
        <w:spacing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A719DB"/>
    <w:pPr>
      <w:numPr>
        <w:numId w:val="1"/>
      </w:numPr>
      <w:spacing w:line="360" w:lineRule="auto"/>
      <w:ind w:left="720"/>
      <w:outlineLvl w:val="0"/>
    </w:pPr>
    <w:rPr>
      <w:rFonts w:ascii="Times New Roman" w:hAnsi="Times New Roman" w:cs="Times New Roman"/>
      <w:b/>
      <w:lang w:val="en-GB"/>
    </w:rPr>
  </w:style>
  <w:style w:type="paragraph" w:styleId="Heading2">
    <w:name w:val="heading 2"/>
    <w:basedOn w:val="ListParagraph"/>
    <w:next w:val="Normal"/>
    <w:link w:val="Heading2Char"/>
    <w:autoRedefine/>
    <w:uiPriority w:val="9"/>
    <w:unhideWhenUsed/>
    <w:qFormat/>
    <w:rsid w:val="00A719DB"/>
    <w:pPr>
      <w:numPr>
        <w:numId w:val="2"/>
      </w:numPr>
      <w:spacing w:line="360" w:lineRule="auto"/>
      <w:ind w:left="720" w:hanging="720"/>
      <w:outlineLvl w:val="1"/>
    </w:pPr>
    <w:rPr>
      <w:rFonts w:ascii="Times New Roman" w:hAnsi="Times New Roman" w:cs="Times New Roman"/>
      <w:b/>
      <w:i/>
      <w:lang w:val="en-GB"/>
    </w:rPr>
  </w:style>
  <w:style w:type="paragraph" w:styleId="Heading3">
    <w:name w:val="heading 3"/>
    <w:basedOn w:val="ListParagraph"/>
    <w:next w:val="Normal"/>
    <w:link w:val="Heading3Char"/>
    <w:autoRedefine/>
    <w:uiPriority w:val="9"/>
    <w:unhideWhenUsed/>
    <w:qFormat/>
    <w:rsid w:val="00A719DB"/>
    <w:pPr>
      <w:numPr>
        <w:numId w:val="3"/>
      </w:numPr>
      <w:spacing w:line="240" w:lineRule="auto"/>
      <w:ind w:hanging="720"/>
      <w:outlineLvl w:val="2"/>
    </w:pPr>
    <w:rPr>
      <w:rFonts w:ascii="Times New Roman" w:hAnsi="Times New Roman" w:cs="Times New Roman"/>
      <w:i/>
      <w:lang w:val="en-GB"/>
    </w:rPr>
  </w:style>
  <w:style w:type="paragraph" w:styleId="Heading4">
    <w:name w:val="heading 4"/>
    <w:basedOn w:val="ListParagraph"/>
    <w:link w:val="Heading4Char"/>
    <w:autoRedefine/>
    <w:uiPriority w:val="9"/>
    <w:unhideWhenUsed/>
    <w:qFormat/>
    <w:rsid w:val="00E837EF"/>
    <w:pPr>
      <w:spacing w:line="240" w:lineRule="auto"/>
      <w:ind w:left="0"/>
      <w:contextualSpacing w:val="0"/>
      <w:jc w:val="both"/>
      <w:outlineLvl w:val="3"/>
    </w:pPr>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9DB"/>
    <w:pPr>
      <w:spacing w:line="240" w:lineRule="auto"/>
      <w:ind w:left="0"/>
    </w:pPr>
    <w:rPr>
      <w:rFonts w:ascii="Times New Roman" w:hAnsi="Times New Roman" w:cs="Times New Roman"/>
      <w:sz w:val="18"/>
      <w:szCs w:val="18"/>
      <w:lang w:eastAsia="zh-CN"/>
    </w:rPr>
  </w:style>
  <w:style w:type="character" w:customStyle="1" w:styleId="BalloonTextChar">
    <w:name w:val="Balloon Text Char"/>
    <w:basedOn w:val="DefaultParagraphFont"/>
    <w:link w:val="BalloonText"/>
    <w:uiPriority w:val="99"/>
    <w:semiHidden/>
    <w:rsid w:val="00A719DB"/>
    <w:rPr>
      <w:rFonts w:ascii="Times New Roman" w:eastAsiaTheme="minorEastAsia" w:hAnsi="Times New Roman" w:cs="Times New Roman"/>
      <w:sz w:val="18"/>
      <w:szCs w:val="18"/>
      <w:lang w:eastAsia="zh-CN"/>
    </w:rPr>
  </w:style>
  <w:style w:type="character" w:customStyle="1" w:styleId="Heading1Char">
    <w:name w:val="Heading 1 Char"/>
    <w:basedOn w:val="DefaultParagraphFont"/>
    <w:link w:val="Heading1"/>
    <w:uiPriority w:val="9"/>
    <w:rsid w:val="00A719DB"/>
    <w:rPr>
      <w:rFonts w:ascii="Times New Roman" w:hAnsi="Times New Roman" w:cs="Times New Roman"/>
      <w:b/>
      <w:lang w:val="en-GB"/>
    </w:rPr>
  </w:style>
  <w:style w:type="paragraph" w:styleId="ListParagraph">
    <w:name w:val="List Paragraph"/>
    <w:basedOn w:val="Normal"/>
    <w:uiPriority w:val="34"/>
    <w:qFormat/>
    <w:rsid w:val="00A719DB"/>
    <w:pPr>
      <w:ind w:left="720"/>
      <w:contextualSpacing/>
    </w:pPr>
  </w:style>
  <w:style w:type="character" w:customStyle="1" w:styleId="Heading2Char">
    <w:name w:val="Heading 2 Char"/>
    <w:basedOn w:val="DefaultParagraphFont"/>
    <w:link w:val="Heading2"/>
    <w:uiPriority w:val="9"/>
    <w:rsid w:val="00A719DB"/>
    <w:rPr>
      <w:rFonts w:ascii="Times New Roman" w:hAnsi="Times New Roman" w:cs="Times New Roman"/>
      <w:b/>
      <w:i/>
      <w:lang w:val="en-GB"/>
    </w:rPr>
  </w:style>
  <w:style w:type="character" w:customStyle="1" w:styleId="Heading3Char">
    <w:name w:val="Heading 3 Char"/>
    <w:basedOn w:val="DefaultParagraphFont"/>
    <w:link w:val="Heading3"/>
    <w:uiPriority w:val="9"/>
    <w:rsid w:val="00A719DB"/>
    <w:rPr>
      <w:rFonts w:ascii="Times New Roman" w:hAnsi="Times New Roman" w:cs="Times New Roman"/>
      <w:i/>
      <w:lang w:val="en-GB"/>
    </w:rPr>
  </w:style>
  <w:style w:type="character" w:customStyle="1" w:styleId="Heading4Char">
    <w:name w:val="Heading 4 Char"/>
    <w:basedOn w:val="DefaultParagraphFont"/>
    <w:link w:val="Heading4"/>
    <w:uiPriority w:val="9"/>
    <w:rsid w:val="00E837EF"/>
    <w:rPr>
      <w:rFonts w:ascii="Times New Roman" w:hAnsi="Times New Roman" w:cs="Times New Roman"/>
      <w:lang w:val="en-GB"/>
    </w:rPr>
  </w:style>
  <w:style w:type="paragraph" w:styleId="FootnoteText">
    <w:name w:val="footnote text"/>
    <w:basedOn w:val="Normal"/>
    <w:link w:val="FootnoteTextChar"/>
    <w:uiPriority w:val="99"/>
    <w:unhideWhenUsed/>
    <w:rsid w:val="00FB7360"/>
    <w:pPr>
      <w:spacing w:line="240" w:lineRule="auto"/>
    </w:pPr>
    <w:rPr>
      <w:sz w:val="20"/>
      <w:szCs w:val="20"/>
    </w:rPr>
  </w:style>
  <w:style w:type="character" w:customStyle="1" w:styleId="FootnoteTextChar">
    <w:name w:val="Footnote Text Char"/>
    <w:basedOn w:val="DefaultParagraphFont"/>
    <w:link w:val="FootnoteText"/>
    <w:uiPriority w:val="99"/>
    <w:rsid w:val="00FB7360"/>
    <w:rPr>
      <w:sz w:val="20"/>
      <w:szCs w:val="20"/>
    </w:rPr>
  </w:style>
  <w:style w:type="character" w:styleId="FootnoteReference">
    <w:name w:val="footnote reference"/>
    <w:basedOn w:val="DefaultParagraphFont"/>
    <w:uiPriority w:val="99"/>
    <w:semiHidden/>
    <w:unhideWhenUsed/>
    <w:rsid w:val="00FB7360"/>
    <w:rPr>
      <w:vertAlign w:val="superscript"/>
    </w:rPr>
  </w:style>
  <w:style w:type="paragraph" w:styleId="Header">
    <w:name w:val="header"/>
    <w:basedOn w:val="Normal"/>
    <w:link w:val="HeaderChar"/>
    <w:uiPriority w:val="99"/>
    <w:unhideWhenUsed/>
    <w:rsid w:val="00A469B2"/>
    <w:pPr>
      <w:tabs>
        <w:tab w:val="center" w:pos="4680"/>
        <w:tab w:val="right" w:pos="9360"/>
      </w:tabs>
      <w:spacing w:line="240" w:lineRule="auto"/>
    </w:pPr>
  </w:style>
  <w:style w:type="character" w:customStyle="1" w:styleId="HeaderChar">
    <w:name w:val="Header Char"/>
    <w:basedOn w:val="DefaultParagraphFont"/>
    <w:link w:val="Header"/>
    <w:uiPriority w:val="99"/>
    <w:rsid w:val="00A469B2"/>
  </w:style>
  <w:style w:type="paragraph" w:styleId="Footer">
    <w:name w:val="footer"/>
    <w:basedOn w:val="Normal"/>
    <w:link w:val="FooterChar"/>
    <w:uiPriority w:val="99"/>
    <w:unhideWhenUsed/>
    <w:rsid w:val="00A469B2"/>
    <w:pPr>
      <w:tabs>
        <w:tab w:val="center" w:pos="4680"/>
        <w:tab w:val="right" w:pos="9360"/>
      </w:tabs>
      <w:spacing w:line="240" w:lineRule="auto"/>
    </w:pPr>
  </w:style>
  <w:style w:type="character" w:customStyle="1" w:styleId="FooterChar">
    <w:name w:val="Footer Char"/>
    <w:basedOn w:val="DefaultParagraphFont"/>
    <w:link w:val="Footer"/>
    <w:uiPriority w:val="99"/>
    <w:rsid w:val="00A469B2"/>
  </w:style>
  <w:style w:type="character" w:styleId="SubtleEmphasis">
    <w:name w:val="Subtle Emphasis"/>
    <w:basedOn w:val="DefaultParagraphFont"/>
    <w:uiPriority w:val="19"/>
    <w:qFormat/>
    <w:rsid w:val="002E0594"/>
    <w:rPr>
      <w:i/>
      <w:iCs/>
      <w:color w:val="404040" w:themeColor="text1" w:themeTint="BF"/>
    </w:rPr>
  </w:style>
  <w:style w:type="character" w:styleId="CommentReference">
    <w:name w:val="annotation reference"/>
    <w:basedOn w:val="DefaultParagraphFont"/>
    <w:uiPriority w:val="99"/>
    <w:semiHidden/>
    <w:unhideWhenUsed/>
    <w:rsid w:val="00372D78"/>
    <w:rPr>
      <w:sz w:val="16"/>
      <w:szCs w:val="16"/>
    </w:rPr>
  </w:style>
  <w:style w:type="paragraph" w:styleId="CommentText">
    <w:name w:val="annotation text"/>
    <w:basedOn w:val="Normal"/>
    <w:link w:val="CommentTextChar"/>
    <w:uiPriority w:val="99"/>
    <w:unhideWhenUsed/>
    <w:rsid w:val="00372D78"/>
    <w:pPr>
      <w:spacing w:line="240" w:lineRule="auto"/>
    </w:pPr>
    <w:rPr>
      <w:sz w:val="20"/>
      <w:szCs w:val="20"/>
    </w:rPr>
  </w:style>
  <w:style w:type="character" w:customStyle="1" w:styleId="CommentTextChar">
    <w:name w:val="Comment Text Char"/>
    <w:basedOn w:val="DefaultParagraphFont"/>
    <w:link w:val="CommentText"/>
    <w:uiPriority w:val="99"/>
    <w:rsid w:val="00372D78"/>
    <w:rPr>
      <w:sz w:val="20"/>
      <w:szCs w:val="20"/>
    </w:rPr>
  </w:style>
  <w:style w:type="paragraph" w:styleId="CommentSubject">
    <w:name w:val="annotation subject"/>
    <w:basedOn w:val="CommentText"/>
    <w:next w:val="CommentText"/>
    <w:link w:val="CommentSubjectChar"/>
    <w:uiPriority w:val="99"/>
    <w:semiHidden/>
    <w:unhideWhenUsed/>
    <w:rsid w:val="00372D78"/>
    <w:rPr>
      <w:b/>
      <w:bCs/>
    </w:rPr>
  </w:style>
  <w:style w:type="character" w:customStyle="1" w:styleId="CommentSubjectChar">
    <w:name w:val="Comment Subject Char"/>
    <w:basedOn w:val="CommentTextChar"/>
    <w:link w:val="CommentSubject"/>
    <w:uiPriority w:val="99"/>
    <w:semiHidden/>
    <w:rsid w:val="00372D78"/>
    <w:rPr>
      <w:b/>
      <w:bCs/>
      <w:sz w:val="20"/>
      <w:szCs w:val="20"/>
    </w:rPr>
  </w:style>
  <w:style w:type="paragraph" w:styleId="NormalWeb">
    <w:name w:val="Normal (Web)"/>
    <w:basedOn w:val="Normal"/>
    <w:uiPriority w:val="99"/>
    <w:semiHidden/>
    <w:unhideWhenUsed/>
    <w:rsid w:val="00612476"/>
    <w:pPr>
      <w:spacing w:before="100" w:beforeAutospacing="1" w:after="100" w:afterAutospacing="1" w:line="240" w:lineRule="auto"/>
      <w:ind w:left="0"/>
    </w:pPr>
    <w:rPr>
      <w:rFonts w:ascii="Times New Roman" w:eastAsia="Times New Roman" w:hAnsi="Times New Roman" w:cs="Times New Roman"/>
      <w:lang w:eastAsia="zh-CN"/>
    </w:rPr>
  </w:style>
  <w:style w:type="paragraph" w:styleId="Revision">
    <w:name w:val="Revision"/>
    <w:hidden/>
    <w:uiPriority w:val="99"/>
    <w:semiHidden/>
    <w:rsid w:val="008210CD"/>
    <w:pPr>
      <w:spacing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2270">
      <w:bodyDiv w:val="1"/>
      <w:marLeft w:val="0"/>
      <w:marRight w:val="0"/>
      <w:marTop w:val="0"/>
      <w:marBottom w:val="0"/>
      <w:divBdr>
        <w:top w:val="none" w:sz="0" w:space="0" w:color="auto"/>
        <w:left w:val="none" w:sz="0" w:space="0" w:color="auto"/>
        <w:bottom w:val="none" w:sz="0" w:space="0" w:color="auto"/>
        <w:right w:val="none" w:sz="0" w:space="0" w:color="auto"/>
      </w:divBdr>
    </w:div>
    <w:div w:id="50345485">
      <w:bodyDiv w:val="1"/>
      <w:marLeft w:val="0"/>
      <w:marRight w:val="0"/>
      <w:marTop w:val="0"/>
      <w:marBottom w:val="0"/>
      <w:divBdr>
        <w:top w:val="none" w:sz="0" w:space="0" w:color="auto"/>
        <w:left w:val="none" w:sz="0" w:space="0" w:color="auto"/>
        <w:bottom w:val="none" w:sz="0" w:space="0" w:color="auto"/>
        <w:right w:val="none" w:sz="0" w:space="0" w:color="auto"/>
      </w:divBdr>
    </w:div>
    <w:div w:id="240532427">
      <w:bodyDiv w:val="1"/>
      <w:marLeft w:val="0"/>
      <w:marRight w:val="0"/>
      <w:marTop w:val="0"/>
      <w:marBottom w:val="0"/>
      <w:divBdr>
        <w:top w:val="none" w:sz="0" w:space="0" w:color="auto"/>
        <w:left w:val="none" w:sz="0" w:space="0" w:color="auto"/>
        <w:bottom w:val="none" w:sz="0" w:space="0" w:color="auto"/>
        <w:right w:val="none" w:sz="0" w:space="0" w:color="auto"/>
      </w:divBdr>
    </w:div>
    <w:div w:id="258831871">
      <w:bodyDiv w:val="1"/>
      <w:marLeft w:val="0"/>
      <w:marRight w:val="0"/>
      <w:marTop w:val="0"/>
      <w:marBottom w:val="0"/>
      <w:divBdr>
        <w:top w:val="none" w:sz="0" w:space="0" w:color="auto"/>
        <w:left w:val="none" w:sz="0" w:space="0" w:color="auto"/>
        <w:bottom w:val="none" w:sz="0" w:space="0" w:color="auto"/>
        <w:right w:val="none" w:sz="0" w:space="0" w:color="auto"/>
      </w:divBdr>
    </w:div>
    <w:div w:id="310717911">
      <w:bodyDiv w:val="1"/>
      <w:marLeft w:val="0"/>
      <w:marRight w:val="0"/>
      <w:marTop w:val="0"/>
      <w:marBottom w:val="0"/>
      <w:divBdr>
        <w:top w:val="none" w:sz="0" w:space="0" w:color="auto"/>
        <w:left w:val="none" w:sz="0" w:space="0" w:color="auto"/>
        <w:bottom w:val="none" w:sz="0" w:space="0" w:color="auto"/>
        <w:right w:val="none" w:sz="0" w:space="0" w:color="auto"/>
      </w:divBdr>
    </w:div>
    <w:div w:id="332726933">
      <w:bodyDiv w:val="1"/>
      <w:marLeft w:val="0"/>
      <w:marRight w:val="0"/>
      <w:marTop w:val="0"/>
      <w:marBottom w:val="0"/>
      <w:divBdr>
        <w:top w:val="none" w:sz="0" w:space="0" w:color="auto"/>
        <w:left w:val="none" w:sz="0" w:space="0" w:color="auto"/>
        <w:bottom w:val="none" w:sz="0" w:space="0" w:color="auto"/>
        <w:right w:val="none" w:sz="0" w:space="0" w:color="auto"/>
      </w:divBdr>
    </w:div>
    <w:div w:id="539786963">
      <w:bodyDiv w:val="1"/>
      <w:marLeft w:val="0"/>
      <w:marRight w:val="0"/>
      <w:marTop w:val="0"/>
      <w:marBottom w:val="0"/>
      <w:divBdr>
        <w:top w:val="none" w:sz="0" w:space="0" w:color="auto"/>
        <w:left w:val="none" w:sz="0" w:space="0" w:color="auto"/>
        <w:bottom w:val="none" w:sz="0" w:space="0" w:color="auto"/>
        <w:right w:val="none" w:sz="0" w:space="0" w:color="auto"/>
      </w:divBdr>
    </w:div>
    <w:div w:id="547038107">
      <w:bodyDiv w:val="1"/>
      <w:marLeft w:val="0"/>
      <w:marRight w:val="0"/>
      <w:marTop w:val="0"/>
      <w:marBottom w:val="0"/>
      <w:divBdr>
        <w:top w:val="none" w:sz="0" w:space="0" w:color="auto"/>
        <w:left w:val="none" w:sz="0" w:space="0" w:color="auto"/>
        <w:bottom w:val="none" w:sz="0" w:space="0" w:color="auto"/>
        <w:right w:val="none" w:sz="0" w:space="0" w:color="auto"/>
      </w:divBdr>
    </w:div>
    <w:div w:id="816605680">
      <w:bodyDiv w:val="1"/>
      <w:marLeft w:val="0"/>
      <w:marRight w:val="0"/>
      <w:marTop w:val="0"/>
      <w:marBottom w:val="0"/>
      <w:divBdr>
        <w:top w:val="none" w:sz="0" w:space="0" w:color="auto"/>
        <w:left w:val="none" w:sz="0" w:space="0" w:color="auto"/>
        <w:bottom w:val="none" w:sz="0" w:space="0" w:color="auto"/>
        <w:right w:val="none" w:sz="0" w:space="0" w:color="auto"/>
      </w:divBdr>
    </w:div>
    <w:div w:id="1013190619">
      <w:bodyDiv w:val="1"/>
      <w:marLeft w:val="0"/>
      <w:marRight w:val="0"/>
      <w:marTop w:val="0"/>
      <w:marBottom w:val="0"/>
      <w:divBdr>
        <w:top w:val="none" w:sz="0" w:space="0" w:color="auto"/>
        <w:left w:val="none" w:sz="0" w:space="0" w:color="auto"/>
        <w:bottom w:val="none" w:sz="0" w:space="0" w:color="auto"/>
        <w:right w:val="none" w:sz="0" w:space="0" w:color="auto"/>
      </w:divBdr>
    </w:div>
    <w:div w:id="1142573412">
      <w:bodyDiv w:val="1"/>
      <w:marLeft w:val="0"/>
      <w:marRight w:val="0"/>
      <w:marTop w:val="0"/>
      <w:marBottom w:val="0"/>
      <w:divBdr>
        <w:top w:val="none" w:sz="0" w:space="0" w:color="auto"/>
        <w:left w:val="none" w:sz="0" w:space="0" w:color="auto"/>
        <w:bottom w:val="none" w:sz="0" w:space="0" w:color="auto"/>
        <w:right w:val="none" w:sz="0" w:space="0" w:color="auto"/>
      </w:divBdr>
    </w:div>
    <w:div w:id="12464981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915">
          <w:marLeft w:val="0"/>
          <w:marRight w:val="0"/>
          <w:marTop w:val="0"/>
          <w:marBottom w:val="0"/>
          <w:divBdr>
            <w:top w:val="none" w:sz="0" w:space="0" w:color="auto"/>
            <w:left w:val="none" w:sz="0" w:space="0" w:color="auto"/>
            <w:bottom w:val="none" w:sz="0" w:space="0" w:color="auto"/>
            <w:right w:val="none" w:sz="0" w:space="0" w:color="auto"/>
          </w:divBdr>
          <w:divsChild>
            <w:div w:id="698970683">
              <w:marLeft w:val="0"/>
              <w:marRight w:val="0"/>
              <w:marTop w:val="0"/>
              <w:marBottom w:val="0"/>
              <w:divBdr>
                <w:top w:val="none" w:sz="0" w:space="0" w:color="auto"/>
                <w:left w:val="none" w:sz="0" w:space="0" w:color="auto"/>
                <w:bottom w:val="none" w:sz="0" w:space="0" w:color="auto"/>
                <w:right w:val="none" w:sz="0" w:space="0" w:color="auto"/>
              </w:divBdr>
              <w:divsChild>
                <w:div w:id="14481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5143">
      <w:bodyDiv w:val="1"/>
      <w:marLeft w:val="0"/>
      <w:marRight w:val="0"/>
      <w:marTop w:val="0"/>
      <w:marBottom w:val="0"/>
      <w:divBdr>
        <w:top w:val="none" w:sz="0" w:space="0" w:color="auto"/>
        <w:left w:val="none" w:sz="0" w:space="0" w:color="auto"/>
        <w:bottom w:val="none" w:sz="0" w:space="0" w:color="auto"/>
        <w:right w:val="none" w:sz="0" w:space="0" w:color="auto"/>
      </w:divBdr>
    </w:div>
    <w:div w:id="1772821551">
      <w:bodyDiv w:val="1"/>
      <w:marLeft w:val="0"/>
      <w:marRight w:val="0"/>
      <w:marTop w:val="0"/>
      <w:marBottom w:val="0"/>
      <w:divBdr>
        <w:top w:val="none" w:sz="0" w:space="0" w:color="auto"/>
        <w:left w:val="none" w:sz="0" w:space="0" w:color="auto"/>
        <w:bottom w:val="none" w:sz="0" w:space="0" w:color="auto"/>
        <w:right w:val="none" w:sz="0" w:space="0" w:color="auto"/>
      </w:divBdr>
    </w:div>
    <w:div w:id="1942103818">
      <w:bodyDiv w:val="1"/>
      <w:marLeft w:val="0"/>
      <w:marRight w:val="0"/>
      <w:marTop w:val="0"/>
      <w:marBottom w:val="0"/>
      <w:divBdr>
        <w:top w:val="none" w:sz="0" w:space="0" w:color="auto"/>
        <w:left w:val="none" w:sz="0" w:space="0" w:color="auto"/>
        <w:bottom w:val="none" w:sz="0" w:space="0" w:color="auto"/>
        <w:right w:val="none" w:sz="0" w:space="0" w:color="auto"/>
      </w:divBdr>
      <w:divsChild>
        <w:div w:id="667486495">
          <w:marLeft w:val="0"/>
          <w:marRight w:val="0"/>
          <w:marTop w:val="0"/>
          <w:marBottom w:val="0"/>
          <w:divBdr>
            <w:top w:val="none" w:sz="0" w:space="0" w:color="auto"/>
            <w:left w:val="none" w:sz="0" w:space="0" w:color="auto"/>
            <w:bottom w:val="none" w:sz="0" w:space="0" w:color="auto"/>
            <w:right w:val="none" w:sz="0" w:space="0" w:color="auto"/>
          </w:divBdr>
          <w:divsChild>
            <w:div w:id="756485359">
              <w:marLeft w:val="0"/>
              <w:marRight w:val="0"/>
              <w:marTop w:val="0"/>
              <w:marBottom w:val="0"/>
              <w:divBdr>
                <w:top w:val="none" w:sz="0" w:space="0" w:color="auto"/>
                <w:left w:val="none" w:sz="0" w:space="0" w:color="auto"/>
                <w:bottom w:val="none" w:sz="0" w:space="0" w:color="auto"/>
                <w:right w:val="none" w:sz="0" w:space="0" w:color="auto"/>
              </w:divBdr>
              <w:divsChild>
                <w:div w:id="1680621136">
                  <w:marLeft w:val="0"/>
                  <w:marRight w:val="0"/>
                  <w:marTop w:val="0"/>
                  <w:marBottom w:val="0"/>
                  <w:divBdr>
                    <w:top w:val="none" w:sz="0" w:space="0" w:color="auto"/>
                    <w:left w:val="none" w:sz="0" w:space="0" w:color="auto"/>
                    <w:bottom w:val="none" w:sz="0" w:space="0" w:color="auto"/>
                    <w:right w:val="none" w:sz="0" w:space="0" w:color="auto"/>
                  </w:divBdr>
                  <w:divsChild>
                    <w:div w:id="6723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7FED-1022-4D5B-A31E-A3290B41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Jia Xin</dc:creator>
  <cp:keywords/>
  <dc:description/>
  <cp:lastModifiedBy>OEI</cp:lastModifiedBy>
  <cp:revision>4</cp:revision>
  <dcterms:created xsi:type="dcterms:W3CDTF">2020-09-09T08:18:00Z</dcterms:created>
  <dcterms:modified xsi:type="dcterms:W3CDTF">2020-09-10T03:49:00Z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Esther_WONG@supcourt.gov.sg</vt:lpwstr>
  </property>
  <property fmtid="{D5CDD505-2E9C-101B-9397-08002B2CF9AE}" pid="5" name="MSIP_Label_3f9331f7-95a2-472a-92bc-d73219eb516b_SetDate">
    <vt:lpwstr>2020-09-07T02:49:37.8091948Z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9a89d4d5-0b81-44f3-9b8c-263fb6fe22f6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Esther_WONG@supcourt.gov.sg</vt:lpwstr>
  </property>
  <property fmtid="{D5CDD505-2E9C-101B-9397-08002B2CF9AE}" pid="13" name="MSIP_Label_4f288355-fb4c-44cd-b9ca-40cfc2aee5f8_SetDate">
    <vt:lpwstr>2020-09-07T02:49:37.8091948Z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9a89d4d5-0b81-44f3-9b8c-263fb6fe22f6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