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7B2EF" w14:textId="5E3F9A7E" w:rsidR="006266BD" w:rsidRPr="005F60B5" w:rsidRDefault="00F35CCF" w:rsidP="00AB16D7">
      <w:pPr>
        <w:pStyle w:val="Standard"/>
        <w:spacing w:line="240" w:lineRule="auto"/>
        <w:jc w:val="center"/>
        <w:rPr>
          <w:rFonts w:ascii="Times New Roman" w:hAnsi="Times New Roman" w:cs="Times New Roman"/>
          <w:sz w:val="24"/>
          <w:szCs w:val="24"/>
        </w:rPr>
      </w:pPr>
      <w:r w:rsidRPr="005F60B5">
        <w:rPr>
          <w:rFonts w:ascii="Times New Roman" w:hAnsi="Times New Roman" w:cs="Times New Roman"/>
          <w:b/>
          <w:sz w:val="24"/>
          <w:szCs w:val="24"/>
          <w:u w:val="single"/>
        </w:rPr>
        <w:t>The appropriate sentencing framework for sexual assault by penetration cases:</w:t>
      </w:r>
    </w:p>
    <w:p w14:paraId="59A822E9" w14:textId="77777777" w:rsidR="006266BD" w:rsidRPr="005F60B5" w:rsidRDefault="00F35CCF" w:rsidP="00AB16D7">
      <w:pPr>
        <w:pStyle w:val="Standard"/>
        <w:spacing w:line="240" w:lineRule="auto"/>
        <w:jc w:val="center"/>
        <w:rPr>
          <w:rFonts w:ascii="Times New Roman" w:hAnsi="Times New Roman" w:cs="Times New Roman"/>
          <w:sz w:val="24"/>
          <w:szCs w:val="24"/>
        </w:rPr>
      </w:pPr>
      <w:r w:rsidRPr="005F60B5">
        <w:rPr>
          <w:rFonts w:ascii="Times New Roman" w:hAnsi="Times New Roman" w:cs="Times New Roman"/>
          <w:b/>
          <w:i/>
          <w:sz w:val="24"/>
          <w:szCs w:val="24"/>
          <w:u w:val="single"/>
        </w:rPr>
        <w:t xml:space="preserve">BPH v Public Prosecutor </w:t>
      </w:r>
      <w:r w:rsidRPr="005F60B5">
        <w:rPr>
          <w:rFonts w:ascii="Times New Roman" w:hAnsi="Times New Roman" w:cs="Times New Roman"/>
          <w:b/>
          <w:sz w:val="24"/>
          <w:szCs w:val="24"/>
          <w:u w:val="single"/>
        </w:rPr>
        <w:t>[2019] SGCA 64</w:t>
      </w:r>
    </w:p>
    <w:p w14:paraId="2250254E" w14:textId="77777777" w:rsidR="006266BD" w:rsidRPr="005F60B5" w:rsidRDefault="006266BD" w:rsidP="00AB16D7">
      <w:pPr>
        <w:pStyle w:val="Standard"/>
        <w:spacing w:line="240" w:lineRule="auto"/>
        <w:rPr>
          <w:rFonts w:ascii="Times New Roman" w:hAnsi="Times New Roman" w:cs="Times New Roman"/>
          <w:sz w:val="24"/>
          <w:szCs w:val="24"/>
        </w:rPr>
      </w:pPr>
    </w:p>
    <w:p w14:paraId="4CF19374" w14:textId="148E688D" w:rsidR="006266BD" w:rsidRPr="00AB16D7" w:rsidRDefault="00F35CCF" w:rsidP="00AB16D7">
      <w:pPr>
        <w:pStyle w:val="Standard"/>
        <w:spacing w:line="240" w:lineRule="auto"/>
        <w:rPr>
          <w:rFonts w:ascii="Times New Roman" w:hAnsi="Times New Roman" w:cs="Times New Roman"/>
          <w:sz w:val="24"/>
          <w:szCs w:val="24"/>
        </w:rPr>
      </w:pPr>
      <w:r w:rsidRPr="005F60B5">
        <w:rPr>
          <w:rFonts w:ascii="Times New Roman" w:hAnsi="Times New Roman" w:cs="Times New Roman"/>
          <w:b/>
          <w:sz w:val="24"/>
          <w:szCs w:val="24"/>
        </w:rPr>
        <w:t>I.</w:t>
      </w:r>
      <w:r w:rsidRPr="005F60B5">
        <w:rPr>
          <w:rFonts w:ascii="Times New Roman" w:hAnsi="Times New Roman" w:cs="Times New Roman"/>
          <w:b/>
          <w:sz w:val="24"/>
          <w:szCs w:val="24"/>
        </w:rPr>
        <w:tab/>
        <w:t>Executive Summary</w:t>
      </w:r>
    </w:p>
    <w:p w14:paraId="612E8D22" w14:textId="55CA771F"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Section 376 of the Penal Code (Cap 224, 2008 Rev Ed)</w:t>
      </w:r>
      <w:r w:rsidR="008D6E4A">
        <w:rPr>
          <w:rFonts w:ascii="Times New Roman" w:hAnsi="Times New Roman" w:cs="Times New Roman"/>
          <w:sz w:val="24"/>
          <w:szCs w:val="24"/>
        </w:rPr>
        <w:t xml:space="preserve"> (“</w:t>
      </w:r>
      <w:r w:rsidR="008D6E4A">
        <w:rPr>
          <w:rFonts w:ascii="Times New Roman" w:hAnsi="Times New Roman" w:cs="Times New Roman"/>
          <w:b/>
          <w:sz w:val="24"/>
          <w:szCs w:val="24"/>
        </w:rPr>
        <w:t>PC”)</w:t>
      </w:r>
      <w:r w:rsidRPr="005F60B5">
        <w:rPr>
          <w:rFonts w:ascii="Times New Roman" w:hAnsi="Times New Roman" w:cs="Times New Roman"/>
          <w:sz w:val="24"/>
          <w:szCs w:val="24"/>
        </w:rPr>
        <w:t xml:space="preserve"> sets out the offences of sexual assault by penetration, including those through: digital-vaginal penetration; digital-anal penetration; and fellatio. The case of </w:t>
      </w:r>
      <w:r w:rsidRPr="005F60B5">
        <w:rPr>
          <w:rFonts w:ascii="Times New Roman" w:hAnsi="Times New Roman" w:cs="Times New Roman"/>
          <w:i/>
          <w:sz w:val="24"/>
          <w:szCs w:val="24"/>
        </w:rPr>
        <w:t>Pram Nair v Public Prosecutor</w:t>
      </w:r>
      <w:r w:rsidRPr="005F60B5">
        <w:rPr>
          <w:rFonts w:ascii="Times New Roman" w:hAnsi="Times New Roman" w:cs="Times New Roman"/>
          <w:sz w:val="24"/>
          <w:szCs w:val="24"/>
        </w:rPr>
        <w:t xml:space="preserve"> [2017] 2 SLR 1015 (“</w:t>
      </w:r>
      <w:r w:rsidRPr="0021521D">
        <w:rPr>
          <w:rFonts w:ascii="Times New Roman" w:hAnsi="Times New Roman" w:cs="Times New Roman"/>
          <w:b/>
          <w:i/>
          <w:sz w:val="24"/>
          <w:szCs w:val="24"/>
        </w:rPr>
        <w:t>Pram Nair</w:t>
      </w:r>
      <w:r w:rsidRPr="005F60B5">
        <w:rPr>
          <w:rFonts w:ascii="Times New Roman" w:hAnsi="Times New Roman" w:cs="Times New Roman"/>
          <w:sz w:val="24"/>
          <w:szCs w:val="24"/>
        </w:rPr>
        <w:t xml:space="preserve">”) established </w:t>
      </w:r>
      <w:r w:rsidR="00866F7A">
        <w:rPr>
          <w:rFonts w:ascii="Times New Roman" w:hAnsi="Times New Roman" w:cs="Times New Roman"/>
          <w:sz w:val="24"/>
          <w:szCs w:val="24"/>
        </w:rPr>
        <w:t>a</w:t>
      </w:r>
      <w:r w:rsidR="00866F7A" w:rsidRPr="005F60B5">
        <w:rPr>
          <w:rFonts w:ascii="Times New Roman" w:hAnsi="Times New Roman" w:cs="Times New Roman"/>
          <w:sz w:val="24"/>
          <w:szCs w:val="24"/>
        </w:rPr>
        <w:t xml:space="preserve"> </w:t>
      </w:r>
      <w:r w:rsidRPr="005F60B5">
        <w:rPr>
          <w:rFonts w:ascii="Times New Roman" w:hAnsi="Times New Roman" w:cs="Times New Roman"/>
          <w:sz w:val="24"/>
          <w:szCs w:val="24"/>
        </w:rPr>
        <w:t xml:space="preserve">sentencing framework for cases of sexual assault through digital-vaginal penetration. However, it left open the </w:t>
      </w:r>
      <w:r w:rsidR="00866F7A">
        <w:rPr>
          <w:rFonts w:ascii="Times New Roman" w:hAnsi="Times New Roman" w:cs="Times New Roman"/>
          <w:sz w:val="24"/>
          <w:szCs w:val="24"/>
        </w:rPr>
        <w:t>following questions</w:t>
      </w:r>
      <w:r w:rsidRPr="005F60B5">
        <w:rPr>
          <w:rFonts w:ascii="Times New Roman" w:hAnsi="Times New Roman" w:cs="Times New Roman"/>
          <w:sz w:val="24"/>
          <w:szCs w:val="24"/>
        </w:rPr>
        <w:t xml:space="preserve">: (a) whether the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framework should apply to </w:t>
      </w:r>
      <w:r w:rsidRPr="0001294D">
        <w:rPr>
          <w:rFonts w:ascii="Times New Roman" w:hAnsi="Times New Roman" w:cs="Times New Roman"/>
          <w:b/>
          <w:i/>
          <w:sz w:val="24"/>
          <w:szCs w:val="24"/>
        </w:rPr>
        <w:t>other</w:t>
      </w:r>
      <w:r w:rsidRPr="005F60B5">
        <w:rPr>
          <w:rFonts w:ascii="Times New Roman" w:hAnsi="Times New Roman" w:cs="Times New Roman"/>
          <w:sz w:val="24"/>
          <w:szCs w:val="24"/>
        </w:rPr>
        <w:t xml:space="preserve"> forms of sexual assault by penetration, and (b) whether there was a hierarchy of severity</w:t>
      </w:r>
      <w:r w:rsidR="00A62D9C">
        <w:rPr>
          <w:rFonts w:ascii="Times New Roman" w:hAnsi="Times New Roman" w:cs="Times New Roman"/>
          <w:sz w:val="24"/>
          <w:szCs w:val="24"/>
        </w:rPr>
        <w:t>,</w:t>
      </w:r>
      <w:r w:rsidRPr="005F60B5">
        <w:rPr>
          <w:rFonts w:ascii="Times New Roman" w:hAnsi="Times New Roman" w:cs="Times New Roman"/>
          <w:sz w:val="24"/>
          <w:szCs w:val="24"/>
        </w:rPr>
        <w:t xml:space="preserve"> for the various permutations of </w:t>
      </w:r>
      <w:r w:rsidR="00A62D9C">
        <w:rPr>
          <w:rFonts w:ascii="Times New Roman" w:hAnsi="Times New Roman" w:cs="Times New Roman"/>
          <w:sz w:val="24"/>
          <w:szCs w:val="24"/>
        </w:rPr>
        <w:t>“</w:t>
      </w:r>
      <w:r w:rsidRPr="005F60B5">
        <w:rPr>
          <w:rFonts w:ascii="Times New Roman" w:hAnsi="Times New Roman" w:cs="Times New Roman"/>
          <w:sz w:val="24"/>
          <w:szCs w:val="24"/>
        </w:rPr>
        <w:t>sexual assault by penetration</w:t>
      </w:r>
      <w:r w:rsidR="00A62D9C">
        <w:rPr>
          <w:rFonts w:ascii="Times New Roman" w:hAnsi="Times New Roman" w:cs="Times New Roman"/>
          <w:sz w:val="24"/>
          <w:szCs w:val="24"/>
        </w:rPr>
        <w:t>”</w:t>
      </w:r>
      <w:r w:rsidRPr="005F60B5">
        <w:rPr>
          <w:rFonts w:ascii="Times New Roman" w:hAnsi="Times New Roman" w:cs="Times New Roman"/>
          <w:sz w:val="24"/>
          <w:szCs w:val="24"/>
        </w:rPr>
        <w:t xml:space="preserve"> under section 376</w:t>
      </w:r>
      <w:r w:rsidR="00866F7A">
        <w:rPr>
          <w:rFonts w:ascii="Times New Roman" w:hAnsi="Times New Roman" w:cs="Times New Roman"/>
          <w:sz w:val="24"/>
          <w:szCs w:val="24"/>
        </w:rPr>
        <w:t xml:space="preserve"> of the PC</w:t>
      </w:r>
      <w:r w:rsidRPr="005F60B5">
        <w:rPr>
          <w:rFonts w:ascii="Times New Roman" w:hAnsi="Times New Roman" w:cs="Times New Roman"/>
          <w:sz w:val="24"/>
          <w:szCs w:val="24"/>
        </w:rPr>
        <w:t>.</w:t>
      </w:r>
    </w:p>
    <w:p w14:paraId="51E93E72"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6AB10FB6" w14:textId="6A3AB1EA" w:rsidR="00F355C3"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The Court of Appeal (“</w:t>
      </w:r>
      <w:r w:rsidRPr="005F60B5">
        <w:rPr>
          <w:rFonts w:ascii="Times New Roman" w:hAnsi="Times New Roman" w:cs="Times New Roman"/>
          <w:b/>
          <w:sz w:val="24"/>
          <w:szCs w:val="24"/>
        </w:rPr>
        <w:t>CA</w:t>
      </w:r>
      <w:r w:rsidRPr="005F60B5">
        <w:rPr>
          <w:rFonts w:ascii="Times New Roman" w:hAnsi="Times New Roman" w:cs="Times New Roman"/>
          <w:sz w:val="24"/>
          <w:szCs w:val="24"/>
        </w:rPr>
        <w:t xml:space="preserve">”) answered these two questions in </w:t>
      </w:r>
      <w:r w:rsidRPr="005F60B5">
        <w:rPr>
          <w:rFonts w:ascii="Times New Roman" w:hAnsi="Times New Roman" w:cs="Times New Roman"/>
          <w:i/>
          <w:sz w:val="24"/>
          <w:szCs w:val="24"/>
        </w:rPr>
        <w:t>BPH</w:t>
      </w:r>
      <w:r w:rsidR="00E5396D" w:rsidRPr="005F60B5">
        <w:rPr>
          <w:rFonts w:ascii="Times New Roman" w:hAnsi="Times New Roman" w:cs="Times New Roman"/>
          <w:i/>
          <w:iCs/>
          <w:sz w:val="24"/>
          <w:szCs w:val="24"/>
        </w:rPr>
        <w:t xml:space="preserve"> v Public Prosecutor</w:t>
      </w:r>
      <w:r w:rsidR="00E5396D" w:rsidRPr="005F60B5">
        <w:rPr>
          <w:rFonts w:ascii="Times New Roman" w:hAnsi="Times New Roman" w:cs="Times New Roman"/>
          <w:sz w:val="24"/>
          <w:szCs w:val="24"/>
        </w:rPr>
        <w:t xml:space="preserve"> [2019] SGCA 64</w:t>
      </w:r>
      <w:r w:rsidR="0029476E" w:rsidRPr="005F60B5">
        <w:rPr>
          <w:rFonts w:ascii="Times New Roman" w:hAnsi="Times New Roman" w:cs="Times New Roman"/>
          <w:sz w:val="24"/>
          <w:szCs w:val="24"/>
        </w:rPr>
        <w:t>.</w:t>
      </w:r>
      <w:r w:rsidRPr="005F60B5">
        <w:rPr>
          <w:rFonts w:ascii="Times New Roman" w:hAnsi="Times New Roman" w:cs="Times New Roman"/>
          <w:i/>
          <w:sz w:val="24"/>
          <w:szCs w:val="24"/>
        </w:rPr>
        <w:t xml:space="preserve"> </w:t>
      </w:r>
      <w:r w:rsidRPr="005F60B5">
        <w:rPr>
          <w:rFonts w:ascii="Times New Roman" w:hAnsi="Times New Roman" w:cs="Times New Roman"/>
          <w:sz w:val="24"/>
          <w:szCs w:val="24"/>
        </w:rPr>
        <w:t>It held that:</w:t>
      </w:r>
    </w:p>
    <w:p w14:paraId="2E09F140" w14:textId="68C84602" w:rsidR="006266BD" w:rsidRPr="005F60B5" w:rsidRDefault="00F35CCF" w:rsidP="00AB16D7">
      <w:pPr>
        <w:pStyle w:val="Standard"/>
        <w:spacing w:line="240" w:lineRule="auto"/>
        <w:ind w:left="540"/>
        <w:jc w:val="both"/>
        <w:rPr>
          <w:rFonts w:ascii="Times New Roman" w:hAnsi="Times New Roman" w:cs="Times New Roman"/>
          <w:sz w:val="24"/>
          <w:szCs w:val="24"/>
        </w:rPr>
      </w:pPr>
      <w:r w:rsidRPr="005F60B5">
        <w:rPr>
          <w:rFonts w:ascii="Times New Roman" w:hAnsi="Times New Roman" w:cs="Times New Roman"/>
          <w:sz w:val="24"/>
          <w:szCs w:val="24"/>
        </w:rPr>
        <w:t xml:space="preserve">(a) the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sentencing framework applies to </w:t>
      </w:r>
      <w:r w:rsidRPr="0001294D">
        <w:rPr>
          <w:rFonts w:ascii="Times New Roman" w:hAnsi="Times New Roman" w:cs="Times New Roman"/>
          <w:b/>
          <w:i/>
          <w:sz w:val="24"/>
          <w:szCs w:val="24"/>
        </w:rPr>
        <w:t>all</w:t>
      </w:r>
      <w:r w:rsidRPr="005F60B5">
        <w:rPr>
          <w:rFonts w:ascii="Times New Roman" w:hAnsi="Times New Roman" w:cs="Times New Roman"/>
          <w:sz w:val="24"/>
          <w:szCs w:val="24"/>
        </w:rPr>
        <w:t xml:space="preserve"> offences of sexual assault by penetration under section 376; and</w:t>
      </w:r>
    </w:p>
    <w:p w14:paraId="4E78DFD1" w14:textId="286BE803" w:rsidR="006266BD" w:rsidRPr="005F60B5" w:rsidRDefault="00F35CCF" w:rsidP="00AB16D7">
      <w:pPr>
        <w:pStyle w:val="Standard"/>
        <w:spacing w:line="240" w:lineRule="auto"/>
        <w:ind w:left="540"/>
        <w:jc w:val="both"/>
        <w:rPr>
          <w:rFonts w:ascii="Times New Roman" w:hAnsi="Times New Roman" w:cs="Times New Roman"/>
          <w:sz w:val="24"/>
          <w:szCs w:val="24"/>
        </w:rPr>
      </w:pPr>
      <w:r w:rsidRPr="005F60B5">
        <w:rPr>
          <w:rFonts w:ascii="Times New Roman" w:hAnsi="Times New Roman" w:cs="Times New Roman"/>
          <w:sz w:val="24"/>
          <w:szCs w:val="24"/>
        </w:rPr>
        <w:t xml:space="preserve">(b) there is no hierarchy of severity for the various permutations of sexual assault by penetration under section 376. Instead, the courts should weigh a range of factors </w:t>
      </w:r>
      <w:r w:rsidRPr="005F60B5">
        <w:rPr>
          <w:rFonts w:ascii="Times New Roman" w:eastAsia="Times New Roman" w:hAnsi="Times New Roman" w:cs="Times New Roman"/>
          <w:sz w:val="24"/>
          <w:szCs w:val="24"/>
        </w:rPr>
        <w:t>in assessing the seriousness of a particular permutation of the offence</w:t>
      </w:r>
      <w:r w:rsidRPr="005F60B5">
        <w:rPr>
          <w:rFonts w:ascii="Times New Roman" w:hAnsi="Times New Roman" w:cs="Times New Roman"/>
          <w:sz w:val="24"/>
          <w:szCs w:val="24"/>
        </w:rPr>
        <w:t>.</w:t>
      </w:r>
    </w:p>
    <w:p w14:paraId="0E2F3E47"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4574EC1B" w14:textId="0A0B294E"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The judgment in this case decided two cases which came up on appeal before the CA on the same day, being </w:t>
      </w:r>
      <w:r w:rsidRPr="005F60B5">
        <w:rPr>
          <w:rFonts w:ascii="Times New Roman" w:hAnsi="Times New Roman" w:cs="Times New Roman"/>
          <w:i/>
          <w:sz w:val="24"/>
          <w:szCs w:val="24"/>
        </w:rPr>
        <w:t xml:space="preserve">BPH v Public Prosecutor </w:t>
      </w:r>
      <w:r w:rsidRPr="005F60B5">
        <w:rPr>
          <w:rFonts w:ascii="Times New Roman" w:hAnsi="Times New Roman" w:cs="Times New Roman"/>
          <w:sz w:val="24"/>
          <w:szCs w:val="24"/>
        </w:rPr>
        <w:t>(“</w:t>
      </w:r>
      <w:r w:rsidRPr="005F60B5">
        <w:rPr>
          <w:rFonts w:ascii="Times New Roman" w:hAnsi="Times New Roman" w:cs="Times New Roman"/>
          <w:b/>
          <w:i/>
          <w:sz w:val="24"/>
          <w:szCs w:val="24"/>
        </w:rPr>
        <w:t>BPH</w:t>
      </w:r>
      <w:r w:rsidRPr="005F60B5">
        <w:rPr>
          <w:rFonts w:ascii="Times New Roman" w:hAnsi="Times New Roman" w:cs="Times New Roman"/>
          <w:sz w:val="24"/>
          <w:szCs w:val="24"/>
        </w:rPr>
        <w:t xml:space="preserve">”) and </w:t>
      </w:r>
      <w:r w:rsidRPr="005F60B5">
        <w:rPr>
          <w:rFonts w:ascii="Times New Roman" w:hAnsi="Times New Roman" w:cs="Times New Roman"/>
          <w:i/>
          <w:sz w:val="24"/>
          <w:szCs w:val="24"/>
        </w:rPr>
        <w:t xml:space="preserve">BVZ v Public Prosecutor </w:t>
      </w:r>
      <w:r w:rsidRPr="005F60B5">
        <w:rPr>
          <w:rFonts w:ascii="Times New Roman" w:hAnsi="Times New Roman" w:cs="Times New Roman"/>
          <w:sz w:val="24"/>
          <w:szCs w:val="24"/>
        </w:rPr>
        <w:t>(“</w:t>
      </w:r>
      <w:r w:rsidRPr="005F60B5">
        <w:rPr>
          <w:rFonts w:ascii="Times New Roman" w:hAnsi="Times New Roman" w:cs="Times New Roman"/>
          <w:b/>
          <w:i/>
          <w:sz w:val="24"/>
          <w:szCs w:val="24"/>
        </w:rPr>
        <w:t>BVZ</w:t>
      </w:r>
      <w:r w:rsidRPr="005F60B5">
        <w:rPr>
          <w:rFonts w:ascii="Times New Roman" w:hAnsi="Times New Roman" w:cs="Times New Roman"/>
          <w:sz w:val="24"/>
          <w:szCs w:val="24"/>
        </w:rPr>
        <w:t>”). Both cases involved an adult sexually assaulting minors, with both offenders appealing their respective sentences. The CA issued a joint grounds of decision as both offenders pleaded guilty to their respective charges and there was no dispute as to the facts of their cases. On appeal, the CA upheld both their sentences</w:t>
      </w:r>
      <w:r w:rsidR="00866F7A">
        <w:rPr>
          <w:rFonts w:ascii="Times New Roman" w:hAnsi="Times New Roman" w:cs="Times New Roman"/>
          <w:sz w:val="24"/>
          <w:szCs w:val="24"/>
        </w:rPr>
        <w:t xml:space="preserve"> applying</w:t>
      </w:r>
      <w:r w:rsidRPr="005F60B5">
        <w:rPr>
          <w:rFonts w:ascii="Times New Roman" w:hAnsi="Times New Roman" w:cs="Times New Roman"/>
          <w:sz w:val="24"/>
          <w:szCs w:val="24"/>
        </w:rPr>
        <w:t xml:space="preserve"> the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sentencing framework.</w:t>
      </w:r>
    </w:p>
    <w:p w14:paraId="31929822" w14:textId="77777777" w:rsidR="006266BD" w:rsidRPr="005F60B5" w:rsidRDefault="006266BD" w:rsidP="00AB16D7">
      <w:pPr>
        <w:pStyle w:val="Standard"/>
        <w:spacing w:line="240" w:lineRule="auto"/>
        <w:ind w:left="540"/>
        <w:rPr>
          <w:rFonts w:ascii="Times New Roman" w:hAnsi="Times New Roman" w:cs="Times New Roman"/>
          <w:sz w:val="24"/>
          <w:szCs w:val="24"/>
        </w:rPr>
      </w:pPr>
    </w:p>
    <w:p w14:paraId="5FE31F66" w14:textId="77777777" w:rsidR="006266BD" w:rsidRPr="005F60B5" w:rsidRDefault="00F35CCF" w:rsidP="00AB16D7">
      <w:pPr>
        <w:pStyle w:val="Standard"/>
        <w:spacing w:line="240" w:lineRule="auto"/>
        <w:rPr>
          <w:rFonts w:ascii="Times New Roman" w:hAnsi="Times New Roman" w:cs="Times New Roman"/>
          <w:sz w:val="24"/>
          <w:szCs w:val="24"/>
        </w:rPr>
      </w:pPr>
      <w:r w:rsidRPr="005F60B5">
        <w:rPr>
          <w:rFonts w:ascii="Times New Roman" w:hAnsi="Times New Roman" w:cs="Times New Roman"/>
          <w:b/>
          <w:sz w:val="24"/>
          <w:szCs w:val="24"/>
        </w:rPr>
        <w:t>II.</w:t>
      </w:r>
      <w:r w:rsidRPr="005F60B5">
        <w:rPr>
          <w:rFonts w:ascii="Times New Roman" w:hAnsi="Times New Roman" w:cs="Times New Roman"/>
          <w:b/>
          <w:sz w:val="24"/>
          <w:szCs w:val="24"/>
        </w:rPr>
        <w:tab/>
        <w:t>Material Facts</w:t>
      </w:r>
    </w:p>
    <w:p w14:paraId="27387E19" w14:textId="693C3939"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The two cases </w:t>
      </w:r>
      <w:r w:rsidR="007332BA">
        <w:rPr>
          <w:rFonts w:ascii="Times New Roman" w:hAnsi="Times New Roman" w:cs="Times New Roman"/>
          <w:sz w:val="24"/>
          <w:szCs w:val="24"/>
        </w:rPr>
        <w:t>involved the following accused persons</w:t>
      </w:r>
      <w:r w:rsidRPr="005F60B5">
        <w:rPr>
          <w:rFonts w:ascii="Times New Roman" w:hAnsi="Times New Roman" w:cs="Times New Roman"/>
          <w:sz w:val="24"/>
          <w:szCs w:val="24"/>
        </w:rPr>
        <w:t>:</w:t>
      </w:r>
    </w:p>
    <w:p w14:paraId="519762F3" w14:textId="01130496" w:rsidR="00AB16D7" w:rsidRDefault="00AB16D7" w:rsidP="00AB16D7">
      <w:pPr>
        <w:pStyle w:val="Standard"/>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35CCF" w:rsidRPr="005F60B5">
        <w:rPr>
          <w:rFonts w:ascii="Times New Roman" w:hAnsi="Times New Roman" w:cs="Times New Roman"/>
          <w:sz w:val="24"/>
          <w:szCs w:val="24"/>
        </w:rPr>
        <w:t>BPH</w:t>
      </w:r>
      <w:r w:rsidR="007332BA">
        <w:rPr>
          <w:rFonts w:ascii="Times New Roman" w:hAnsi="Times New Roman" w:cs="Times New Roman"/>
          <w:sz w:val="24"/>
          <w:szCs w:val="24"/>
        </w:rPr>
        <w:t xml:space="preserve"> between 60 and 62 years old</w:t>
      </w:r>
      <w:r w:rsidR="00F35CCF" w:rsidRPr="005F60B5">
        <w:rPr>
          <w:rFonts w:ascii="Times New Roman" w:hAnsi="Times New Roman" w:cs="Times New Roman"/>
          <w:sz w:val="24"/>
          <w:szCs w:val="24"/>
        </w:rPr>
        <w:t>, the maternal grandfather of the victim VB (</w:t>
      </w:r>
      <w:r w:rsidR="007332BA">
        <w:rPr>
          <w:rFonts w:ascii="Times New Roman" w:hAnsi="Times New Roman" w:cs="Times New Roman"/>
          <w:sz w:val="24"/>
          <w:szCs w:val="24"/>
        </w:rPr>
        <w:t>between 7 and 8 years old</w:t>
      </w:r>
      <w:r w:rsidR="00F35CCF" w:rsidRPr="005F60B5">
        <w:rPr>
          <w:rFonts w:ascii="Times New Roman" w:hAnsi="Times New Roman" w:cs="Times New Roman"/>
          <w:sz w:val="24"/>
          <w:szCs w:val="24"/>
        </w:rPr>
        <w:t>), and</w:t>
      </w:r>
    </w:p>
    <w:p w14:paraId="6609395B" w14:textId="74564935" w:rsidR="006266BD" w:rsidRDefault="00AB16D7" w:rsidP="00AB16D7">
      <w:pPr>
        <w:pStyle w:val="Standard"/>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35CCF" w:rsidRPr="005F60B5">
        <w:rPr>
          <w:rFonts w:ascii="Times New Roman" w:hAnsi="Times New Roman" w:cs="Times New Roman"/>
          <w:sz w:val="24"/>
          <w:szCs w:val="24"/>
        </w:rPr>
        <w:t>BVZ (then-47 years old), who committed acts against four victims (V1, V2, V3 and V4, each then-14 years old).</w:t>
      </w:r>
    </w:p>
    <w:p w14:paraId="5E6F80EB" w14:textId="4841EE51" w:rsidR="00AB16D7" w:rsidRPr="005F60B5" w:rsidRDefault="00AB16D7" w:rsidP="00AB16D7">
      <w:pPr>
        <w:pStyle w:val="Standard"/>
        <w:spacing w:line="240" w:lineRule="auto"/>
        <w:ind w:left="720"/>
        <w:jc w:val="both"/>
        <w:rPr>
          <w:rFonts w:ascii="Times New Roman" w:hAnsi="Times New Roman" w:cs="Times New Roman"/>
          <w:sz w:val="24"/>
          <w:szCs w:val="24"/>
        </w:rPr>
      </w:pPr>
    </w:p>
    <w:p w14:paraId="5712E0CA" w14:textId="77777777" w:rsidR="006266BD" w:rsidRPr="005F60B5" w:rsidRDefault="00F35CCF" w:rsidP="00AB16D7">
      <w:pPr>
        <w:pStyle w:val="Standard"/>
        <w:numPr>
          <w:ilvl w:val="0"/>
          <w:numId w:val="10"/>
        </w:numPr>
        <w:spacing w:line="240" w:lineRule="auto"/>
        <w:jc w:val="both"/>
        <w:rPr>
          <w:rFonts w:ascii="Times New Roman" w:hAnsi="Times New Roman" w:cs="Times New Roman"/>
          <w:b/>
          <w:i/>
          <w:sz w:val="24"/>
          <w:szCs w:val="24"/>
        </w:rPr>
      </w:pPr>
      <w:r w:rsidRPr="005F60B5">
        <w:rPr>
          <w:rFonts w:ascii="Times New Roman" w:hAnsi="Times New Roman" w:cs="Times New Roman"/>
          <w:b/>
          <w:i/>
          <w:sz w:val="24"/>
          <w:szCs w:val="24"/>
        </w:rPr>
        <w:t>BPH</w:t>
      </w:r>
    </w:p>
    <w:p w14:paraId="0A467D81" w14:textId="7BDEAE3F"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Sometime in February or March 2015, BPH asked VB</w:t>
      </w:r>
      <w:r w:rsidR="007332BA">
        <w:rPr>
          <w:rFonts w:ascii="Times New Roman" w:hAnsi="Times New Roman" w:cs="Times New Roman"/>
          <w:sz w:val="24"/>
          <w:szCs w:val="24"/>
        </w:rPr>
        <w:t xml:space="preserve"> </w:t>
      </w:r>
      <w:r w:rsidRPr="005F60B5">
        <w:rPr>
          <w:rFonts w:ascii="Times New Roman" w:hAnsi="Times New Roman" w:cs="Times New Roman"/>
          <w:sz w:val="24"/>
          <w:szCs w:val="24"/>
        </w:rPr>
        <w:t xml:space="preserve">to follow him to BPH’s bedroom. Both laid down on the bed, where BPH started kissing VB and fondling his penis. BPH then proceeded to undress himself and </w:t>
      </w:r>
      <w:r w:rsidR="007332BA">
        <w:rPr>
          <w:rFonts w:ascii="Times New Roman" w:hAnsi="Times New Roman" w:cs="Times New Roman"/>
          <w:sz w:val="24"/>
          <w:szCs w:val="24"/>
        </w:rPr>
        <w:t>VB</w:t>
      </w:r>
      <w:r w:rsidRPr="005F60B5">
        <w:rPr>
          <w:rFonts w:ascii="Times New Roman" w:hAnsi="Times New Roman" w:cs="Times New Roman"/>
          <w:sz w:val="24"/>
          <w:szCs w:val="24"/>
        </w:rPr>
        <w:t xml:space="preserve">, </w:t>
      </w:r>
      <w:r w:rsidR="007332BA">
        <w:rPr>
          <w:rFonts w:ascii="Times New Roman" w:hAnsi="Times New Roman" w:cs="Times New Roman"/>
          <w:sz w:val="24"/>
          <w:szCs w:val="24"/>
        </w:rPr>
        <w:t>and</w:t>
      </w:r>
      <w:r w:rsidR="007332BA" w:rsidRPr="005F60B5">
        <w:rPr>
          <w:rFonts w:ascii="Times New Roman" w:hAnsi="Times New Roman" w:cs="Times New Roman"/>
          <w:sz w:val="24"/>
          <w:szCs w:val="24"/>
        </w:rPr>
        <w:t xml:space="preserve"> </w:t>
      </w:r>
      <w:r w:rsidR="007332BA">
        <w:rPr>
          <w:rFonts w:ascii="Times New Roman" w:hAnsi="Times New Roman" w:cs="Times New Roman"/>
          <w:sz w:val="24"/>
          <w:szCs w:val="24"/>
        </w:rPr>
        <w:t>touched</w:t>
      </w:r>
      <w:r w:rsidR="007332BA" w:rsidRPr="005F60B5">
        <w:rPr>
          <w:rFonts w:ascii="Times New Roman" w:hAnsi="Times New Roman" w:cs="Times New Roman"/>
          <w:sz w:val="24"/>
          <w:szCs w:val="24"/>
        </w:rPr>
        <w:t xml:space="preserve"> </w:t>
      </w:r>
      <w:r w:rsidRPr="005F60B5">
        <w:rPr>
          <w:rFonts w:ascii="Times New Roman" w:hAnsi="Times New Roman" w:cs="Times New Roman"/>
          <w:sz w:val="24"/>
          <w:szCs w:val="24"/>
        </w:rPr>
        <w:t xml:space="preserve">VB’s penis again. The act was interrupted when the domestic helper called for VB. BPH told VB not to tell anyone about what happened. Between December 2015 to September 2016, BPH was confined in the Drug Rehabilitation Centre. </w:t>
      </w:r>
      <w:r w:rsidR="007332BA">
        <w:rPr>
          <w:rFonts w:ascii="Times New Roman" w:hAnsi="Times New Roman" w:cs="Times New Roman"/>
          <w:sz w:val="24"/>
          <w:szCs w:val="24"/>
        </w:rPr>
        <w:t>Subsequently, BPH</w:t>
      </w:r>
      <w:r w:rsidR="007332BA" w:rsidRPr="005F60B5">
        <w:rPr>
          <w:rFonts w:ascii="Times New Roman" w:hAnsi="Times New Roman" w:cs="Times New Roman"/>
          <w:sz w:val="24"/>
          <w:szCs w:val="24"/>
        </w:rPr>
        <w:t xml:space="preserve"> </w:t>
      </w:r>
      <w:r w:rsidRPr="005F60B5">
        <w:rPr>
          <w:rFonts w:ascii="Times New Roman" w:hAnsi="Times New Roman" w:cs="Times New Roman"/>
          <w:sz w:val="24"/>
          <w:szCs w:val="24"/>
        </w:rPr>
        <w:t>returned to reside in the flat. Approximately a week after his release, BPH again asked VB to follow him to his bedroom. BPH again undressed VB and placed his finger into VB’s anus (</w:t>
      </w:r>
      <w:proofErr w:type="spellStart"/>
      <w:r w:rsidR="007332BA" w:rsidRPr="007332BA">
        <w:rPr>
          <w:rFonts w:ascii="Times New Roman" w:hAnsi="Times New Roman" w:cs="Times New Roman"/>
          <w:i/>
          <w:sz w:val="24"/>
          <w:szCs w:val="24"/>
        </w:rPr>
        <w:t>ie</w:t>
      </w:r>
      <w:proofErr w:type="spellEnd"/>
      <w:r w:rsidR="007332BA">
        <w:rPr>
          <w:rFonts w:ascii="Times New Roman" w:hAnsi="Times New Roman" w:cs="Times New Roman"/>
          <w:sz w:val="24"/>
          <w:szCs w:val="24"/>
        </w:rPr>
        <w:t xml:space="preserve">, </w:t>
      </w:r>
      <w:r w:rsidRPr="005F60B5">
        <w:rPr>
          <w:rFonts w:ascii="Times New Roman" w:hAnsi="Times New Roman" w:cs="Times New Roman"/>
          <w:sz w:val="24"/>
          <w:szCs w:val="24"/>
        </w:rPr>
        <w:t xml:space="preserve">he digitally penetrated VB). Finally in October 2016, VB told his mother (BPH’s daughter) </w:t>
      </w:r>
      <w:r w:rsidR="000036FA">
        <w:rPr>
          <w:rFonts w:ascii="Times New Roman" w:hAnsi="Times New Roman" w:cs="Times New Roman"/>
          <w:sz w:val="24"/>
          <w:szCs w:val="24"/>
        </w:rPr>
        <w:t>about the molestation</w:t>
      </w:r>
      <w:r w:rsidRPr="005F60B5">
        <w:rPr>
          <w:rFonts w:ascii="Times New Roman" w:hAnsi="Times New Roman" w:cs="Times New Roman"/>
          <w:sz w:val="24"/>
          <w:szCs w:val="24"/>
        </w:rPr>
        <w:t xml:space="preserve">. She confronted BPH, who admitted his wrongdoing. </w:t>
      </w:r>
      <w:r w:rsidR="007332BA">
        <w:rPr>
          <w:rFonts w:ascii="Times New Roman" w:hAnsi="Times New Roman" w:cs="Times New Roman"/>
          <w:sz w:val="24"/>
          <w:szCs w:val="24"/>
        </w:rPr>
        <w:t>A police report was made the following day</w:t>
      </w:r>
      <w:r w:rsidRPr="005F60B5">
        <w:rPr>
          <w:rFonts w:ascii="Times New Roman" w:hAnsi="Times New Roman" w:cs="Times New Roman"/>
          <w:sz w:val="24"/>
          <w:szCs w:val="24"/>
        </w:rPr>
        <w:t>.</w:t>
      </w:r>
    </w:p>
    <w:p w14:paraId="4D49625A" w14:textId="77777777" w:rsidR="006266BD" w:rsidRPr="005F60B5" w:rsidRDefault="006266BD" w:rsidP="00AB16D7">
      <w:pPr>
        <w:pStyle w:val="Standard"/>
        <w:spacing w:line="240" w:lineRule="auto"/>
        <w:jc w:val="both"/>
        <w:rPr>
          <w:rFonts w:ascii="Times New Roman" w:eastAsia="Times New Roman" w:hAnsi="Times New Roman" w:cs="Times New Roman"/>
          <w:sz w:val="24"/>
          <w:szCs w:val="24"/>
        </w:rPr>
      </w:pPr>
    </w:p>
    <w:p w14:paraId="134F0225" w14:textId="310B7145"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At the High Court (“</w:t>
      </w:r>
      <w:r w:rsidRPr="005F60B5">
        <w:rPr>
          <w:rFonts w:ascii="Times New Roman" w:hAnsi="Times New Roman" w:cs="Times New Roman"/>
          <w:b/>
          <w:sz w:val="24"/>
          <w:szCs w:val="24"/>
        </w:rPr>
        <w:t>HC</w:t>
      </w:r>
      <w:r w:rsidRPr="005F60B5">
        <w:rPr>
          <w:rFonts w:ascii="Times New Roman" w:hAnsi="Times New Roman" w:cs="Times New Roman"/>
          <w:sz w:val="24"/>
          <w:szCs w:val="24"/>
        </w:rPr>
        <w:t>”), BPH pleaded guilty to two charges: sexual assault by penetration (“digital-anal”) of a person under 14 years of age, punishable under section 376(2)(</w:t>
      </w:r>
      <w:r w:rsidRPr="005F60B5">
        <w:rPr>
          <w:rFonts w:ascii="Times New Roman" w:hAnsi="Times New Roman" w:cs="Times New Roman"/>
          <w:i/>
          <w:sz w:val="24"/>
          <w:szCs w:val="24"/>
        </w:rPr>
        <w:t>a</w:t>
      </w:r>
      <w:r w:rsidRPr="0001294D">
        <w:rPr>
          <w:rFonts w:ascii="Times New Roman" w:hAnsi="Times New Roman" w:cs="Times New Roman"/>
          <w:sz w:val="24"/>
          <w:szCs w:val="24"/>
        </w:rPr>
        <w:t>)</w:t>
      </w:r>
      <w:r w:rsidRPr="005F60B5">
        <w:rPr>
          <w:rFonts w:ascii="Times New Roman" w:hAnsi="Times New Roman" w:cs="Times New Roman"/>
          <w:b/>
          <w:sz w:val="24"/>
          <w:szCs w:val="24"/>
        </w:rPr>
        <w:t xml:space="preserve"> </w:t>
      </w:r>
      <w:r w:rsidRPr="005F60B5">
        <w:rPr>
          <w:rFonts w:ascii="Times New Roman" w:hAnsi="Times New Roman" w:cs="Times New Roman"/>
          <w:sz w:val="24"/>
          <w:szCs w:val="24"/>
        </w:rPr>
        <w:t>read with section 376(2)(</w:t>
      </w:r>
      <w:r w:rsidRPr="005F60B5">
        <w:rPr>
          <w:rFonts w:ascii="Times New Roman" w:hAnsi="Times New Roman" w:cs="Times New Roman"/>
          <w:i/>
          <w:sz w:val="24"/>
          <w:szCs w:val="24"/>
        </w:rPr>
        <w:t>b</w:t>
      </w:r>
      <w:r w:rsidRPr="005F60B5">
        <w:rPr>
          <w:rFonts w:ascii="Times New Roman" w:hAnsi="Times New Roman" w:cs="Times New Roman"/>
          <w:sz w:val="24"/>
          <w:szCs w:val="24"/>
        </w:rPr>
        <w:t xml:space="preserve">) of the </w:t>
      </w:r>
      <w:r w:rsidR="007332BA">
        <w:rPr>
          <w:rFonts w:ascii="Times New Roman" w:hAnsi="Times New Roman" w:cs="Times New Roman"/>
          <w:sz w:val="24"/>
          <w:szCs w:val="24"/>
        </w:rPr>
        <w:t>PC</w:t>
      </w:r>
      <w:r w:rsidRPr="005F60B5">
        <w:rPr>
          <w:rFonts w:ascii="Times New Roman" w:hAnsi="Times New Roman" w:cs="Times New Roman"/>
          <w:sz w:val="24"/>
          <w:szCs w:val="24"/>
        </w:rPr>
        <w:t xml:space="preserve">; and outrage of modesty of a person under 14 years of age, punishable under section 354(1) read with section 354(2) of the </w:t>
      </w:r>
      <w:r w:rsidR="007332BA">
        <w:rPr>
          <w:rFonts w:ascii="Times New Roman" w:hAnsi="Times New Roman" w:cs="Times New Roman"/>
          <w:sz w:val="24"/>
          <w:szCs w:val="24"/>
        </w:rPr>
        <w:t>PC</w:t>
      </w:r>
      <w:r w:rsidRPr="005F60B5">
        <w:rPr>
          <w:rFonts w:ascii="Times New Roman" w:hAnsi="Times New Roman" w:cs="Times New Roman"/>
          <w:sz w:val="24"/>
          <w:szCs w:val="24"/>
        </w:rPr>
        <w:t xml:space="preserve">. Three further charges were admitted and taken into consideration for </w:t>
      </w:r>
      <w:r w:rsidR="007332BA">
        <w:rPr>
          <w:rFonts w:ascii="Times New Roman" w:hAnsi="Times New Roman" w:cs="Times New Roman"/>
          <w:sz w:val="24"/>
          <w:szCs w:val="24"/>
        </w:rPr>
        <w:t>the purpose of sentencing</w:t>
      </w:r>
      <w:r w:rsidRPr="005F60B5">
        <w:rPr>
          <w:rFonts w:ascii="Times New Roman" w:hAnsi="Times New Roman" w:cs="Times New Roman"/>
          <w:sz w:val="24"/>
          <w:szCs w:val="24"/>
        </w:rPr>
        <w:t>.</w:t>
      </w:r>
    </w:p>
    <w:p w14:paraId="59120B0C"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243EC1C0" w14:textId="08A9E8E8" w:rsidR="006266BD"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The HC held that the appropriate sentence was 11 years’ imprisonment for the sexual penetration </w:t>
      </w:r>
      <w:r w:rsidRPr="005F60B5">
        <w:rPr>
          <w:rFonts w:ascii="Times New Roman" w:hAnsi="Times New Roman" w:cs="Times New Roman"/>
          <w:sz w:val="24"/>
          <w:szCs w:val="24"/>
        </w:rPr>
        <w:lastRenderedPageBreak/>
        <w:t xml:space="preserve">charge, and 30 months’ imprisonment for the outrage of modesty charge. </w:t>
      </w:r>
      <w:r w:rsidR="007332BA">
        <w:rPr>
          <w:rFonts w:ascii="Times New Roman" w:hAnsi="Times New Roman" w:cs="Times New Roman"/>
          <w:sz w:val="24"/>
          <w:szCs w:val="24"/>
        </w:rPr>
        <w:t>Applying</w:t>
      </w:r>
      <w:r w:rsidR="007332BA" w:rsidRPr="005F60B5">
        <w:rPr>
          <w:rFonts w:ascii="Times New Roman" w:hAnsi="Times New Roman" w:cs="Times New Roman"/>
          <w:sz w:val="24"/>
          <w:szCs w:val="24"/>
        </w:rPr>
        <w:t xml:space="preserve"> </w:t>
      </w:r>
      <w:r w:rsidRPr="005F60B5">
        <w:rPr>
          <w:rFonts w:ascii="Times New Roman" w:hAnsi="Times New Roman" w:cs="Times New Roman"/>
          <w:sz w:val="24"/>
          <w:szCs w:val="24"/>
        </w:rPr>
        <w:t xml:space="preserve">the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sentencing framework, the HC considered the aggravating factors</w:t>
      </w:r>
      <w:r w:rsidR="00623DE8">
        <w:rPr>
          <w:rStyle w:val="FootnoteReference"/>
          <w:rFonts w:ascii="Times New Roman" w:hAnsi="Times New Roman" w:cs="Times New Roman"/>
          <w:sz w:val="24"/>
          <w:szCs w:val="24"/>
        </w:rPr>
        <w:footnoteReference w:id="2"/>
      </w:r>
      <w:r w:rsidRPr="005F60B5">
        <w:rPr>
          <w:rFonts w:ascii="Times New Roman" w:hAnsi="Times New Roman" w:cs="Times New Roman"/>
          <w:sz w:val="24"/>
          <w:szCs w:val="24"/>
        </w:rPr>
        <w:t xml:space="preserve"> of abuse of trust, the </w:t>
      </w:r>
      <w:r w:rsidR="00794A5B">
        <w:rPr>
          <w:rFonts w:ascii="Times New Roman" w:hAnsi="Times New Roman" w:cs="Times New Roman"/>
          <w:sz w:val="24"/>
          <w:szCs w:val="24"/>
        </w:rPr>
        <w:t xml:space="preserve">victim’s </w:t>
      </w:r>
      <w:r w:rsidRPr="005F60B5">
        <w:rPr>
          <w:rFonts w:ascii="Times New Roman" w:hAnsi="Times New Roman" w:cs="Times New Roman"/>
          <w:sz w:val="24"/>
          <w:szCs w:val="24"/>
        </w:rPr>
        <w:t>young age</w:t>
      </w:r>
      <w:r w:rsidR="00794A5B">
        <w:rPr>
          <w:rFonts w:ascii="Times New Roman" w:hAnsi="Times New Roman" w:cs="Times New Roman"/>
          <w:sz w:val="24"/>
          <w:szCs w:val="24"/>
        </w:rPr>
        <w:t>,</w:t>
      </w:r>
      <w:r w:rsidRPr="005F60B5">
        <w:rPr>
          <w:rFonts w:ascii="Times New Roman" w:hAnsi="Times New Roman" w:cs="Times New Roman"/>
          <w:sz w:val="24"/>
          <w:szCs w:val="24"/>
        </w:rPr>
        <w:t xml:space="preserve"> and </w:t>
      </w:r>
      <w:r w:rsidR="00794A5B">
        <w:rPr>
          <w:rFonts w:ascii="Times New Roman" w:hAnsi="Times New Roman" w:cs="Times New Roman"/>
          <w:sz w:val="24"/>
          <w:szCs w:val="24"/>
        </w:rPr>
        <w:t xml:space="preserve">the </w:t>
      </w:r>
      <w:r w:rsidRPr="005F60B5">
        <w:rPr>
          <w:rFonts w:ascii="Times New Roman" w:hAnsi="Times New Roman" w:cs="Times New Roman"/>
          <w:sz w:val="24"/>
          <w:szCs w:val="24"/>
        </w:rPr>
        <w:t>moral corruption</w:t>
      </w:r>
      <w:r w:rsidR="00794A5B">
        <w:rPr>
          <w:rFonts w:ascii="Times New Roman" w:hAnsi="Times New Roman" w:cs="Times New Roman"/>
          <w:sz w:val="24"/>
          <w:szCs w:val="24"/>
        </w:rPr>
        <w:t xml:space="preserve"> </w:t>
      </w:r>
      <w:r w:rsidR="00404145">
        <w:rPr>
          <w:rFonts w:ascii="Times New Roman" w:hAnsi="Times New Roman" w:cs="Times New Roman"/>
          <w:sz w:val="24"/>
          <w:szCs w:val="24"/>
        </w:rPr>
        <w:t>involved</w:t>
      </w:r>
      <w:r w:rsidRPr="005F60B5">
        <w:rPr>
          <w:rFonts w:ascii="Times New Roman" w:hAnsi="Times New Roman" w:cs="Times New Roman"/>
          <w:sz w:val="24"/>
          <w:szCs w:val="24"/>
        </w:rPr>
        <w:t xml:space="preserve">, as well as other factors such as BPH’s plea of guilt and lack of </w:t>
      </w:r>
      <w:r w:rsidR="00D10BE1">
        <w:rPr>
          <w:rFonts w:ascii="Times New Roman" w:hAnsi="Times New Roman" w:cs="Times New Roman"/>
          <w:sz w:val="24"/>
          <w:szCs w:val="24"/>
        </w:rPr>
        <w:t>prior convictions</w:t>
      </w:r>
      <w:r w:rsidRPr="005F60B5">
        <w:rPr>
          <w:rFonts w:ascii="Times New Roman" w:hAnsi="Times New Roman" w:cs="Times New Roman"/>
          <w:sz w:val="24"/>
          <w:szCs w:val="24"/>
        </w:rPr>
        <w:t xml:space="preserve">. </w:t>
      </w:r>
      <w:r w:rsidR="00743ADF">
        <w:rPr>
          <w:rFonts w:ascii="Times New Roman" w:hAnsi="Times New Roman" w:cs="Times New Roman"/>
          <w:sz w:val="24"/>
          <w:szCs w:val="24"/>
        </w:rPr>
        <w:t>It</w:t>
      </w:r>
      <w:r w:rsidRPr="005F60B5">
        <w:rPr>
          <w:rFonts w:ascii="Times New Roman" w:hAnsi="Times New Roman" w:cs="Times New Roman"/>
          <w:sz w:val="24"/>
          <w:szCs w:val="24"/>
        </w:rPr>
        <w:t xml:space="preserve"> also considered digital-anal penetration to be a less serious offence than digital-vaginal penetration. </w:t>
      </w:r>
      <w:r w:rsidR="007332BA">
        <w:rPr>
          <w:rFonts w:ascii="Times New Roman" w:hAnsi="Times New Roman" w:cs="Times New Roman"/>
          <w:sz w:val="24"/>
          <w:szCs w:val="24"/>
        </w:rPr>
        <w:t xml:space="preserve">The </w:t>
      </w:r>
      <w:r w:rsidRPr="005F60B5">
        <w:rPr>
          <w:rFonts w:ascii="Times New Roman" w:hAnsi="Times New Roman" w:cs="Times New Roman"/>
          <w:sz w:val="24"/>
          <w:szCs w:val="24"/>
        </w:rPr>
        <w:t xml:space="preserve">HC </w:t>
      </w:r>
      <w:r w:rsidR="007332BA">
        <w:rPr>
          <w:rFonts w:ascii="Times New Roman" w:hAnsi="Times New Roman" w:cs="Times New Roman"/>
          <w:sz w:val="24"/>
          <w:szCs w:val="24"/>
        </w:rPr>
        <w:t>adjusted</w:t>
      </w:r>
      <w:r w:rsidR="007332BA" w:rsidRPr="005F60B5">
        <w:rPr>
          <w:rFonts w:ascii="Times New Roman" w:hAnsi="Times New Roman" w:cs="Times New Roman"/>
          <w:sz w:val="24"/>
          <w:szCs w:val="24"/>
        </w:rPr>
        <w:t xml:space="preserve"> </w:t>
      </w:r>
      <w:r w:rsidRPr="005F60B5">
        <w:rPr>
          <w:rFonts w:ascii="Times New Roman" w:hAnsi="Times New Roman" w:cs="Times New Roman"/>
          <w:sz w:val="24"/>
          <w:szCs w:val="24"/>
        </w:rPr>
        <w:t>the sentences to ten years’ imprisonment for sexual penetration and two years’ imprisonment for outrage of modesty</w:t>
      </w:r>
      <w:r w:rsidR="0001294D">
        <w:rPr>
          <w:rFonts w:ascii="Times New Roman" w:hAnsi="Times New Roman" w:cs="Times New Roman"/>
          <w:sz w:val="24"/>
          <w:szCs w:val="24"/>
        </w:rPr>
        <w:t xml:space="preserve">, </w:t>
      </w:r>
      <w:r w:rsidR="007332BA">
        <w:rPr>
          <w:rFonts w:ascii="Times New Roman" w:hAnsi="Times New Roman" w:cs="Times New Roman"/>
          <w:sz w:val="24"/>
          <w:szCs w:val="24"/>
        </w:rPr>
        <w:t>on account of the</w:t>
      </w:r>
      <w:r w:rsidRPr="005F60B5">
        <w:rPr>
          <w:rFonts w:ascii="Times New Roman" w:hAnsi="Times New Roman" w:cs="Times New Roman"/>
          <w:sz w:val="24"/>
          <w:szCs w:val="24"/>
        </w:rPr>
        <w:t xml:space="preserve"> totality principle.</w:t>
      </w:r>
      <w:r w:rsidRPr="005F60B5">
        <w:rPr>
          <w:rStyle w:val="FootnoteReference"/>
          <w:rFonts w:ascii="Times New Roman" w:hAnsi="Times New Roman" w:cs="Times New Roman"/>
          <w:sz w:val="24"/>
          <w:szCs w:val="24"/>
        </w:rPr>
        <w:footnoteReference w:id="3"/>
      </w:r>
      <w:r w:rsidRPr="005F60B5">
        <w:rPr>
          <w:rFonts w:ascii="Times New Roman" w:hAnsi="Times New Roman" w:cs="Times New Roman"/>
          <w:sz w:val="24"/>
          <w:szCs w:val="24"/>
        </w:rPr>
        <w:t xml:space="preserve"> It also held that both sentences should run consecutively, resulting in an aggregate sentence of 12 years’ imprisonment.</w:t>
      </w:r>
    </w:p>
    <w:p w14:paraId="23E5E56C" w14:textId="77777777" w:rsidR="00CF4F6C" w:rsidRPr="005F60B5" w:rsidRDefault="00CF4F6C" w:rsidP="00AB16D7">
      <w:pPr>
        <w:pStyle w:val="Standard"/>
        <w:spacing w:line="240" w:lineRule="auto"/>
        <w:jc w:val="both"/>
        <w:rPr>
          <w:rFonts w:ascii="Times New Roman" w:hAnsi="Times New Roman" w:cs="Times New Roman"/>
          <w:sz w:val="24"/>
          <w:szCs w:val="24"/>
        </w:rPr>
      </w:pPr>
    </w:p>
    <w:p w14:paraId="169B95EE" w14:textId="77777777" w:rsidR="006266BD" w:rsidRPr="000453AE" w:rsidRDefault="00F35CCF" w:rsidP="009473E3">
      <w:pPr>
        <w:pStyle w:val="Standard"/>
        <w:numPr>
          <w:ilvl w:val="0"/>
          <w:numId w:val="11"/>
        </w:numPr>
        <w:spacing w:line="240" w:lineRule="auto"/>
        <w:jc w:val="both"/>
        <w:rPr>
          <w:rFonts w:ascii="Times New Roman" w:hAnsi="Times New Roman" w:cs="Times New Roman"/>
          <w:b/>
          <w:i/>
          <w:sz w:val="24"/>
          <w:szCs w:val="24"/>
        </w:rPr>
      </w:pPr>
      <w:r w:rsidRPr="000453AE">
        <w:rPr>
          <w:rFonts w:ascii="Times New Roman" w:hAnsi="Times New Roman" w:cs="Times New Roman"/>
          <w:b/>
          <w:i/>
          <w:sz w:val="24"/>
          <w:szCs w:val="24"/>
        </w:rPr>
        <w:t>BVZ</w:t>
      </w:r>
    </w:p>
    <w:p w14:paraId="69D38142" w14:textId="0E45D3DA"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The four victims, V1, V2, V3, and V4, were friends from primary school. They would often spend time in V3’s home, and sometimes stay there overnight. BVZ was V3’s biological father. BVZ’s wife worked the night shift and would only return home in the morning.</w:t>
      </w:r>
    </w:p>
    <w:p w14:paraId="7212AAD9"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513139EC" w14:textId="3DD1BD29" w:rsidR="006266BD" w:rsidRPr="009473E3" w:rsidRDefault="00FC3E8D" w:rsidP="00AB16D7">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 xml:space="preserve">) </w:t>
      </w:r>
      <w:r w:rsidR="00F35CCF" w:rsidRPr="005F60B5">
        <w:rPr>
          <w:rFonts w:ascii="Times New Roman" w:hAnsi="Times New Roman" w:cs="Times New Roman"/>
          <w:sz w:val="24"/>
          <w:szCs w:val="24"/>
          <w:u w:val="single"/>
        </w:rPr>
        <w:t>First and second sexual penetration charge (V1)</w:t>
      </w:r>
    </w:p>
    <w:p w14:paraId="6887EC92" w14:textId="4E7BF92B"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One night in September 2016, V1 went to V3’s flat. Only BVZ was at home. V1 initially stayed for a while as BVZ told her there was “something” outside the flat, but when she later insisted on going home, BVZ pretended to be spiritually possessed. He then removed his shirt, pulled down his jeans and told V1 that if she wanted him to “become normal”, she had to give him a “blow job” (</w:t>
      </w:r>
      <w:proofErr w:type="spellStart"/>
      <w:r w:rsidR="007332BA" w:rsidRPr="007332BA">
        <w:rPr>
          <w:rFonts w:ascii="Times New Roman" w:hAnsi="Times New Roman" w:cs="Times New Roman"/>
          <w:i/>
          <w:sz w:val="24"/>
          <w:szCs w:val="24"/>
        </w:rPr>
        <w:t>ie</w:t>
      </w:r>
      <w:proofErr w:type="spellEnd"/>
      <w:r w:rsidR="007332BA">
        <w:rPr>
          <w:rFonts w:ascii="Times New Roman" w:hAnsi="Times New Roman" w:cs="Times New Roman"/>
          <w:sz w:val="24"/>
          <w:szCs w:val="24"/>
        </w:rPr>
        <w:t xml:space="preserve">, </w:t>
      </w:r>
      <w:r w:rsidRPr="005F60B5">
        <w:rPr>
          <w:rFonts w:ascii="Times New Roman" w:hAnsi="Times New Roman" w:cs="Times New Roman"/>
          <w:sz w:val="24"/>
          <w:szCs w:val="24"/>
        </w:rPr>
        <w:t>fellatio). Out of fear, V1</w:t>
      </w:r>
      <w:r w:rsidR="00CF4F6C">
        <w:rPr>
          <w:rFonts w:ascii="Times New Roman" w:hAnsi="Times New Roman" w:cs="Times New Roman"/>
          <w:sz w:val="24"/>
          <w:szCs w:val="24"/>
        </w:rPr>
        <w:t xml:space="preserve"> did so</w:t>
      </w:r>
      <w:r w:rsidRPr="005F60B5">
        <w:rPr>
          <w:rFonts w:ascii="Times New Roman" w:hAnsi="Times New Roman" w:cs="Times New Roman"/>
          <w:sz w:val="24"/>
          <w:szCs w:val="24"/>
        </w:rPr>
        <w:t>. The act continued for a few minutes until he ejaculated in her mouth</w:t>
      </w:r>
      <w:r w:rsidR="007332BA">
        <w:rPr>
          <w:rFonts w:ascii="Times New Roman" w:hAnsi="Times New Roman" w:cs="Times New Roman"/>
          <w:sz w:val="24"/>
          <w:szCs w:val="24"/>
        </w:rPr>
        <w:t>.</w:t>
      </w:r>
      <w:r w:rsidRPr="005F60B5">
        <w:rPr>
          <w:rFonts w:ascii="Times New Roman" w:hAnsi="Times New Roman" w:cs="Times New Roman"/>
          <w:sz w:val="24"/>
          <w:szCs w:val="24"/>
        </w:rPr>
        <w:t xml:space="preserve"> </w:t>
      </w:r>
      <w:r w:rsidR="007332BA">
        <w:rPr>
          <w:rFonts w:ascii="Times New Roman" w:hAnsi="Times New Roman" w:cs="Times New Roman"/>
          <w:sz w:val="24"/>
          <w:szCs w:val="24"/>
        </w:rPr>
        <w:t>S</w:t>
      </w:r>
      <w:r w:rsidR="000B1B6B">
        <w:rPr>
          <w:rFonts w:ascii="Times New Roman" w:hAnsi="Times New Roman" w:cs="Times New Roman"/>
          <w:sz w:val="24"/>
          <w:szCs w:val="24"/>
        </w:rPr>
        <w:t xml:space="preserve">he </w:t>
      </w:r>
      <w:r w:rsidRPr="005F60B5">
        <w:rPr>
          <w:rFonts w:ascii="Times New Roman" w:hAnsi="Times New Roman" w:cs="Times New Roman"/>
          <w:sz w:val="24"/>
          <w:szCs w:val="24"/>
        </w:rPr>
        <w:t>then swallow</w:t>
      </w:r>
      <w:r w:rsidR="000B1B6B">
        <w:rPr>
          <w:rFonts w:ascii="Times New Roman" w:hAnsi="Times New Roman" w:cs="Times New Roman"/>
          <w:sz w:val="24"/>
          <w:szCs w:val="24"/>
        </w:rPr>
        <w:t>ed</w:t>
      </w:r>
      <w:r w:rsidRPr="005F60B5">
        <w:rPr>
          <w:rFonts w:ascii="Times New Roman" w:hAnsi="Times New Roman" w:cs="Times New Roman"/>
          <w:sz w:val="24"/>
          <w:szCs w:val="24"/>
        </w:rPr>
        <w:t xml:space="preserve"> his semen</w:t>
      </w:r>
      <w:r w:rsidR="000B1B6B">
        <w:rPr>
          <w:rFonts w:ascii="Times New Roman" w:hAnsi="Times New Roman" w:cs="Times New Roman"/>
          <w:sz w:val="24"/>
          <w:szCs w:val="24"/>
        </w:rPr>
        <w:t xml:space="preserve"> on his instructions</w:t>
      </w:r>
      <w:r w:rsidRPr="005F60B5">
        <w:rPr>
          <w:rFonts w:ascii="Times New Roman" w:hAnsi="Times New Roman" w:cs="Times New Roman"/>
          <w:sz w:val="24"/>
          <w:szCs w:val="24"/>
        </w:rPr>
        <w:t>. After the act was completed, BVZ ran out of the flat</w:t>
      </w:r>
      <w:r w:rsidR="007332BA">
        <w:rPr>
          <w:rFonts w:ascii="Times New Roman" w:hAnsi="Times New Roman" w:cs="Times New Roman"/>
          <w:sz w:val="24"/>
          <w:szCs w:val="24"/>
        </w:rPr>
        <w:t>.</w:t>
      </w:r>
      <w:r w:rsidRPr="005F60B5">
        <w:rPr>
          <w:rFonts w:ascii="Times New Roman" w:hAnsi="Times New Roman" w:cs="Times New Roman"/>
          <w:sz w:val="24"/>
          <w:szCs w:val="24"/>
        </w:rPr>
        <w:t xml:space="preserve"> </w:t>
      </w:r>
      <w:r w:rsidR="007332BA">
        <w:rPr>
          <w:rFonts w:ascii="Times New Roman" w:hAnsi="Times New Roman" w:cs="Times New Roman"/>
          <w:sz w:val="24"/>
          <w:szCs w:val="24"/>
        </w:rPr>
        <w:t>W</w:t>
      </w:r>
      <w:r w:rsidRPr="005F60B5">
        <w:rPr>
          <w:rFonts w:ascii="Times New Roman" w:hAnsi="Times New Roman" w:cs="Times New Roman"/>
          <w:sz w:val="24"/>
          <w:szCs w:val="24"/>
        </w:rPr>
        <w:t>hen he returned, he pretended he was normal again. He also told her not to tell anyone what had happened.</w:t>
      </w:r>
    </w:p>
    <w:p w14:paraId="418B9513" w14:textId="77777777"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 </w:t>
      </w:r>
    </w:p>
    <w:p w14:paraId="22E2D34B" w14:textId="0CDF8EA5"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After this incident, V1 would only go to V3’s house when V3 was at home. </w:t>
      </w:r>
      <w:r w:rsidR="000968A7">
        <w:rPr>
          <w:rFonts w:ascii="Times New Roman" w:hAnsi="Times New Roman" w:cs="Times New Roman"/>
          <w:sz w:val="24"/>
          <w:szCs w:val="24"/>
        </w:rPr>
        <w:t>In</w:t>
      </w:r>
      <w:r w:rsidRPr="005F60B5">
        <w:rPr>
          <w:rFonts w:ascii="Times New Roman" w:hAnsi="Times New Roman" w:cs="Times New Roman"/>
          <w:sz w:val="24"/>
          <w:szCs w:val="24"/>
        </w:rPr>
        <w:t xml:space="preserve"> July 2017, V1 was with V3 in V3’s bedroom, watching movies. V3 fell asleep. When V1 left V3’s room to use the toilet, she encountered BVZ. BVZ asked </w:t>
      </w:r>
      <w:r w:rsidR="00154C8E">
        <w:rPr>
          <w:rFonts w:ascii="Times New Roman" w:hAnsi="Times New Roman" w:cs="Times New Roman"/>
          <w:sz w:val="24"/>
          <w:szCs w:val="24"/>
        </w:rPr>
        <w:t>V1</w:t>
      </w:r>
      <w:r w:rsidR="00154C8E" w:rsidRPr="005F60B5">
        <w:rPr>
          <w:rFonts w:ascii="Times New Roman" w:hAnsi="Times New Roman" w:cs="Times New Roman"/>
          <w:sz w:val="24"/>
          <w:szCs w:val="24"/>
        </w:rPr>
        <w:t xml:space="preserve"> </w:t>
      </w:r>
      <w:r w:rsidR="00154C8E">
        <w:rPr>
          <w:rFonts w:ascii="Times New Roman" w:hAnsi="Times New Roman" w:cs="Times New Roman"/>
          <w:sz w:val="24"/>
          <w:szCs w:val="24"/>
        </w:rPr>
        <w:t xml:space="preserve">to take him to </w:t>
      </w:r>
      <w:r w:rsidR="003C7816">
        <w:rPr>
          <w:rFonts w:ascii="Times New Roman" w:hAnsi="Times New Roman" w:cs="Times New Roman"/>
          <w:sz w:val="24"/>
          <w:szCs w:val="24"/>
        </w:rPr>
        <w:t>a</w:t>
      </w:r>
      <w:r w:rsidRPr="005F60B5">
        <w:rPr>
          <w:rFonts w:ascii="Times New Roman" w:hAnsi="Times New Roman" w:cs="Times New Roman"/>
          <w:sz w:val="24"/>
          <w:szCs w:val="24"/>
        </w:rPr>
        <w:t xml:space="preserve"> shop which she and V3 frequented; he also said not to wake V3 up.</w:t>
      </w:r>
      <w:r w:rsidR="00154C8E">
        <w:rPr>
          <w:rFonts w:ascii="Times New Roman" w:hAnsi="Times New Roman" w:cs="Times New Roman"/>
          <w:sz w:val="24"/>
          <w:szCs w:val="24"/>
        </w:rPr>
        <w:t xml:space="preserve"> </w:t>
      </w:r>
      <w:r w:rsidRPr="005F60B5">
        <w:rPr>
          <w:rFonts w:ascii="Times New Roman" w:hAnsi="Times New Roman" w:cs="Times New Roman"/>
          <w:sz w:val="24"/>
          <w:szCs w:val="24"/>
        </w:rPr>
        <w:t xml:space="preserve">BVZ </w:t>
      </w:r>
      <w:r w:rsidR="00154C8E">
        <w:rPr>
          <w:rFonts w:ascii="Times New Roman" w:hAnsi="Times New Roman" w:cs="Times New Roman"/>
          <w:sz w:val="24"/>
          <w:szCs w:val="24"/>
        </w:rPr>
        <w:t>then</w:t>
      </w:r>
      <w:r w:rsidR="00154C8E" w:rsidRPr="005F60B5">
        <w:rPr>
          <w:rFonts w:ascii="Times New Roman" w:hAnsi="Times New Roman" w:cs="Times New Roman"/>
          <w:sz w:val="24"/>
          <w:szCs w:val="24"/>
        </w:rPr>
        <w:t xml:space="preserve"> </w:t>
      </w:r>
      <w:r w:rsidRPr="005F60B5">
        <w:rPr>
          <w:rFonts w:ascii="Times New Roman" w:hAnsi="Times New Roman" w:cs="Times New Roman"/>
          <w:sz w:val="24"/>
          <w:szCs w:val="24"/>
        </w:rPr>
        <w:t>brought V1 to his friend’s house, leaving only around midnight. However, on the way back, the battery of BVZ’s electronic bicycle went flat. BVZ then brought V1 to the fourth floor of a nearby multi-</w:t>
      </w:r>
      <w:proofErr w:type="spellStart"/>
      <w:r w:rsidRPr="005F60B5">
        <w:rPr>
          <w:rFonts w:ascii="Times New Roman" w:hAnsi="Times New Roman" w:cs="Times New Roman"/>
          <w:sz w:val="24"/>
          <w:szCs w:val="24"/>
        </w:rPr>
        <w:t>storey</w:t>
      </w:r>
      <w:proofErr w:type="spellEnd"/>
      <w:r w:rsidRPr="005F60B5">
        <w:rPr>
          <w:rFonts w:ascii="Times New Roman" w:hAnsi="Times New Roman" w:cs="Times New Roman"/>
          <w:sz w:val="24"/>
          <w:szCs w:val="24"/>
        </w:rPr>
        <w:t xml:space="preserve"> carpark. At the carpark, BVZ asked V1 to give him another “blow job”. V1 started crying and refused. He told her this would be the last time and that he would not disturb her anymore after this. When she refused again, he held her neck and threatened to punch her while making a gesture of punching her stomach. V1 kept crying, feeling helpless and afraid for her safety</w:t>
      </w:r>
      <w:r w:rsidR="007332BA">
        <w:rPr>
          <w:rFonts w:ascii="Times New Roman" w:hAnsi="Times New Roman" w:cs="Times New Roman"/>
          <w:sz w:val="24"/>
          <w:szCs w:val="24"/>
        </w:rPr>
        <w:t>, but</w:t>
      </w:r>
      <w:r w:rsidR="0001294D">
        <w:rPr>
          <w:rFonts w:ascii="Times New Roman" w:hAnsi="Times New Roman" w:cs="Times New Roman"/>
          <w:sz w:val="24"/>
          <w:szCs w:val="24"/>
        </w:rPr>
        <w:t xml:space="preserve"> </w:t>
      </w:r>
      <w:r w:rsidR="007332BA">
        <w:rPr>
          <w:rFonts w:ascii="Times New Roman" w:hAnsi="Times New Roman" w:cs="Times New Roman"/>
          <w:sz w:val="24"/>
          <w:szCs w:val="24"/>
        </w:rPr>
        <w:t>eventually</w:t>
      </w:r>
      <w:r w:rsidRPr="005F60B5">
        <w:rPr>
          <w:rFonts w:ascii="Times New Roman" w:hAnsi="Times New Roman" w:cs="Times New Roman"/>
          <w:sz w:val="24"/>
          <w:szCs w:val="24"/>
        </w:rPr>
        <w:t xml:space="preserve"> complied. BVZ again ejaculated in her mouth.</w:t>
      </w:r>
    </w:p>
    <w:p w14:paraId="72D0B278"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4B5B97B6" w14:textId="3C87E0E8" w:rsidR="006266BD" w:rsidRPr="00522F1E" w:rsidRDefault="00FC3E8D" w:rsidP="00AB16D7">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(ii) </w:t>
      </w:r>
      <w:r w:rsidR="00F35CCF" w:rsidRPr="005F60B5">
        <w:rPr>
          <w:rFonts w:ascii="Times New Roman" w:hAnsi="Times New Roman" w:cs="Times New Roman"/>
          <w:sz w:val="24"/>
          <w:szCs w:val="24"/>
          <w:u w:val="single"/>
        </w:rPr>
        <w:t>Outrage of modesty charge (V4)</w:t>
      </w:r>
    </w:p>
    <w:p w14:paraId="13D7ED2C" w14:textId="665BCB1C" w:rsidR="006266BD"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In late September 2016, V4 ran away from home and stayed at V3’s flat. </w:t>
      </w:r>
      <w:r w:rsidR="00B22F32">
        <w:rPr>
          <w:rFonts w:ascii="Times New Roman" w:hAnsi="Times New Roman" w:cs="Times New Roman"/>
          <w:sz w:val="24"/>
          <w:szCs w:val="24"/>
        </w:rPr>
        <w:t xml:space="preserve">In </w:t>
      </w:r>
      <w:r w:rsidR="002331A5">
        <w:rPr>
          <w:rFonts w:ascii="Times New Roman" w:hAnsi="Times New Roman" w:cs="Times New Roman"/>
          <w:sz w:val="24"/>
          <w:szCs w:val="24"/>
        </w:rPr>
        <w:t xml:space="preserve">early </w:t>
      </w:r>
      <w:r w:rsidRPr="005F60B5">
        <w:rPr>
          <w:rFonts w:ascii="Times New Roman" w:hAnsi="Times New Roman" w:cs="Times New Roman"/>
          <w:sz w:val="24"/>
          <w:szCs w:val="24"/>
        </w:rPr>
        <w:t xml:space="preserve">October 2016, V4 was asleep alone in the bedroom as V3 had left for school. BVZ woke V4 up and told her to “satisfy” him. He touched her breast over her t-shirt. He then asked her for a “blow job”, telling her she was staying for free in his flat. She was frightened and began crying. </w:t>
      </w:r>
      <w:r w:rsidR="00561F40">
        <w:rPr>
          <w:rFonts w:ascii="Times New Roman" w:hAnsi="Times New Roman" w:cs="Times New Roman"/>
          <w:sz w:val="24"/>
          <w:szCs w:val="24"/>
        </w:rPr>
        <w:t>S</w:t>
      </w:r>
      <w:r w:rsidRPr="005F60B5">
        <w:rPr>
          <w:rFonts w:ascii="Times New Roman" w:hAnsi="Times New Roman" w:cs="Times New Roman"/>
          <w:sz w:val="24"/>
          <w:szCs w:val="24"/>
        </w:rPr>
        <w:t>he escaped to the bathroom where she texted V2 for help. V2 informed V3 about what happened, and V3 asked her teachers for help. Two teachers from V3’s school arrived and escorted V4 away.</w:t>
      </w:r>
    </w:p>
    <w:p w14:paraId="6A8BD14D" w14:textId="77777777" w:rsidR="00542818" w:rsidRPr="005F60B5" w:rsidRDefault="00542818" w:rsidP="00AB16D7">
      <w:pPr>
        <w:pStyle w:val="Standard"/>
        <w:spacing w:line="240" w:lineRule="auto"/>
        <w:jc w:val="both"/>
        <w:rPr>
          <w:rFonts w:ascii="Times New Roman" w:hAnsi="Times New Roman" w:cs="Times New Roman"/>
          <w:sz w:val="24"/>
          <w:szCs w:val="24"/>
        </w:rPr>
      </w:pPr>
    </w:p>
    <w:p w14:paraId="21DE5C5B" w14:textId="1D94F969" w:rsidR="006266BD" w:rsidRPr="00522F1E" w:rsidRDefault="00FC3E8D" w:rsidP="00AB16D7">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(iii) </w:t>
      </w:r>
      <w:r w:rsidR="00F35CCF" w:rsidRPr="005F60B5">
        <w:rPr>
          <w:rFonts w:ascii="Times New Roman" w:hAnsi="Times New Roman" w:cs="Times New Roman"/>
          <w:sz w:val="24"/>
          <w:szCs w:val="24"/>
          <w:u w:val="single"/>
        </w:rPr>
        <w:t>Causing hurt by poison (V2)</w:t>
      </w:r>
    </w:p>
    <w:p w14:paraId="6A89E513" w14:textId="579DA3E3" w:rsidR="006266BD" w:rsidRPr="005F60B5" w:rsidRDefault="00B22F32" w:rsidP="00AB16D7">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In</w:t>
      </w:r>
      <w:r w:rsidR="00F35CCF" w:rsidRPr="005F60B5">
        <w:rPr>
          <w:rFonts w:ascii="Times New Roman" w:hAnsi="Times New Roman" w:cs="Times New Roman"/>
          <w:sz w:val="24"/>
          <w:szCs w:val="24"/>
        </w:rPr>
        <w:t xml:space="preserve"> August 2017, V1 and V2 were alone with V3 at her flat. The three girls took BVZ’s </w:t>
      </w:r>
      <w:r w:rsidR="00680956">
        <w:rPr>
          <w:rFonts w:ascii="Times New Roman" w:hAnsi="Times New Roman" w:cs="Times New Roman"/>
          <w:sz w:val="24"/>
          <w:szCs w:val="24"/>
        </w:rPr>
        <w:t>electronic bicycle</w:t>
      </w:r>
      <w:r w:rsidR="00680956" w:rsidRPr="005F60B5">
        <w:rPr>
          <w:rFonts w:ascii="Times New Roman" w:hAnsi="Times New Roman" w:cs="Times New Roman"/>
          <w:sz w:val="24"/>
          <w:szCs w:val="24"/>
        </w:rPr>
        <w:t xml:space="preserve"> </w:t>
      </w:r>
      <w:r w:rsidR="00F35CCF" w:rsidRPr="005F60B5">
        <w:rPr>
          <w:rFonts w:ascii="Times New Roman" w:hAnsi="Times New Roman" w:cs="Times New Roman"/>
          <w:sz w:val="24"/>
          <w:szCs w:val="24"/>
        </w:rPr>
        <w:t>and went out. BVZ returned to the flat at 5</w:t>
      </w:r>
      <w:r w:rsidR="007332BA">
        <w:rPr>
          <w:rFonts w:ascii="Times New Roman" w:hAnsi="Times New Roman" w:cs="Times New Roman"/>
          <w:sz w:val="24"/>
          <w:szCs w:val="24"/>
        </w:rPr>
        <w:t>.00</w:t>
      </w:r>
      <w:r w:rsidR="00F35CCF" w:rsidRPr="005F60B5">
        <w:rPr>
          <w:rFonts w:ascii="Times New Roman" w:hAnsi="Times New Roman" w:cs="Times New Roman"/>
          <w:sz w:val="24"/>
          <w:szCs w:val="24"/>
        </w:rPr>
        <w:t xml:space="preserve">am the next day, and became angry with </w:t>
      </w:r>
      <w:r w:rsidR="00282291">
        <w:rPr>
          <w:rFonts w:ascii="Times New Roman" w:hAnsi="Times New Roman" w:cs="Times New Roman"/>
          <w:sz w:val="24"/>
          <w:szCs w:val="24"/>
        </w:rPr>
        <w:t xml:space="preserve">the </w:t>
      </w:r>
      <w:r w:rsidR="007332BA">
        <w:rPr>
          <w:rFonts w:ascii="Times New Roman" w:hAnsi="Times New Roman" w:cs="Times New Roman"/>
          <w:sz w:val="24"/>
          <w:szCs w:val="24"/>
        </w:rPr>
        <w:t>V1 and V2</w:t>
      </w:r>
      <w:r w:rsidR="007332BA" w:rsidRPr="005F60B5">
        <w:rPr>
          <w:rFonts w:ascii="Times New Roman" w:hAnsi="Times New Roman" w:cs="Times New Roman"/>
          <w:sz w:val="24"/>
          <w:szCs w:val="24"/>
        </w:rPr>
        <w:t xml:space="preserve"> </w:t>
      </w:r>
      <w:r w:rsidR="00F35CCF" w:rsidRPr="005F60B5">
        <w:rPr>
          <w:rFonts w:ascii="Times New Roman" w:hAnsi="Times New Roman" w:cs="Times New Roman"/>
          <w:sz w:val="24"/>
          <w:szCs w:val="24"/>
        </w:rPr>
        <w:t xml:space="preserve">for using his </w:t>
      </w:r>
      <w:r w:rsidR="00680956">
        <w:rPr>
          <w:rFonts w:ascii="Times New Roman" w:hAnsi="Times New Roman" w:cs="Times New Roman"/>
          <w:sz w:val="24"/>
          <w:szCs w:val="24"/>
        </w:rPr>
        <w:t>electronic bicycle</w:t>
      </w:r>
      <w:r w:rsidR="00F35CCF" w:rsidRPr="005F60B5">
        <w:rPr>
          <w:rFonts w:ascii="Times New Roman" w:hAnsi="Times New Roman" w:cs="Times New Roman"/>
          <w:sz w:val="24"/>
          <w:szCs w:val="24"/>
        </w:rPr>
        <w:t>. At about 6</w:t>
      </w:r>
      <w:r w:rsidR="00680956">
        <w:rPr>
          <w:rFonts w:ascii="Times New Roman" w:hAnsi="Times New Roman" w:cs="Times New Roman"/>
          <w:sz w:val="24"/>
          <w:szCs w:val="24"/>
        </w:rPr>
        <w:t>.00</w:t>
      </w:r>
      <w:r w:rsidR="00F35CCF" w:rsidRPr="005F60B5">
        <w:rPr>
          <w:rFonts w:ascii="Times New Roman" w:hAnsi="Times New Roman" w:cs="Times New Roman"/>
          <w:sz w:val="24"/>
          <w:szCs w:val="24"/>
        </w:rPr>
        <w:t xml:space="preserve">am, BVZ asked to speak to either V1 or V2 individually outside the flat. They both refused to go. After asking V3 to persuade her friends, V3 </w:t>
      </w:r>
      <w:r w:rsidR="00F35CCF" w:rsidRPr="005F60B5">
        <w:rPr>
          <w:rFonts w:ascii="Times New Roman" w:hAnsi="Times New Roman" w:cs="Times New Roman"/>
          <w:sz w:val="24"/>
          <w:szCs w:val="24"/>
        </w:rPr>
        <w:lastRenderedPageBreak/>
        <w:t>told V2 that BVZ wanted to see her. V</w:t>
      </w:r>
      <w:r w:rsidR="00680956">
        <w:rPr>
          <w:rFonts w:ascii="Times New Roman" w:hAnsi="Times New Roman" w:cs="Times New Roman"/>
          <w:sz w:val="24"/>
          <w:szCs w:val="24"/>
        </w:rPr>
        <w:t>2</w:t>
      </w:r>
      <w:r w:rsidR="00F35CCF" w:rsidRPr="005F60B5">
        <w:rPr>
          <w:rFonts w:ascii="Times New Roman" w:hAnsi="Times New Roman" w:cs="Times New Roman"/>
          <w:sz w:val="24"/>
          <w:szCs w:val="24"/>
        </w:rPr>
        <w:t xml:space="preserve"> was reluctant as she was afraid, but V3 assured her she would seek help. V2 went out to meet BVZ.</w:t>
      </w:r>
    </w:p>
    <w:p w14:paraId="4725F7D2"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16A11F0A" w14:textId="0512C94E"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Outside, BVZ asked V2 to promise to take care of V3. He </w:t>
      </w:r>
      <w:r w:rsidR="00680956" w:rsidRPr="005F60B5">
        <w:rPr>
          <w:rFonts w:ascii="Times New Roman" w:hAnsi="Times New Roman" w:cs="Times New Roman"/>
          <w:sz w:val="24"/>
          <w:szCs w:val="24"/>
        </w:rPr>
        <w:t xml:space="preserve"> </w:t>
      </w:r>
      <w:r w:rsidRPr="005F60B5">
        <w:rPr>
          <w:rFonts w:ascii="Times New Roman" w:hAnsi="Times New Roman" w:cs="Times New Roman"/>
          <w:sz w:val="24"/>
          <w:szCs w:val="24"/>
        </w:rPr>
        <w:t>gave V2 four “</w:t>
      </w:r>
      <w:proofErr w:type="spellStart"/>
      <w:r w:rsidRPr="005F60B5">
        <w:rPr>
          <w:rFonts w:ascii="Times New Roman" w:hAnsi="Times New Roman" w:cs="Times New Roman"/>
          <w:sz w:val="24"/>
          <w:szCs w:val="24"/>
        </w:rPr>
        <w:t>Epam</w:t>
      </w:r>
      <w:proofErr w:type="spellEnd"/>
      <w:r w:rsidRPr="005F60B5">
        <w:rPr>
          <w:rFonts w:ascii="Times New Roman" w:hAnsi="Times New Roman" w:cs="Times New Roman"/>
          <w:sz w:val="24"/>
          <w:szCs w:val="24"/>
        </w:rPr>
        <w:t xml:space="preserve"> Nitrazepam BP 5mg” pills, which contained Nitrazepam (a poison listed in the Schedule to the Poisons Act (Cap 234, 1999 Rev Ed), and a prescription-only medication used to treat insomnia or convulsions). He asked her to consume the pills, with the intention of facilitating the commission of an offence of sexual penetration of a minor under section 376A(1)(</w:t>
      </w:r>
      <w:r w:rsidRPr="005F60B5">
        <w:rPr>
          <w:rFonts w:ascii="Times New Roman" w:hAnsi="Times New Roman" w:cs="Times New Roman"/>
          <w:i/>
          <w:sz w:val="24"/>
          <w:szCs w:val="24"/>
        </w:rPr>
        <w:t>a</w:t>
      </w:r>
      <w:r w:rsidRPr="005F60B5">
        <w:rPr>
          <w:rFonts w:ascii="Times New Roman" w:hAnsi="Times New Roman" w:cs="Times New Roman"/>
          <w:sz w:val="24"/>
          <w:szCs w:val="24"/>
        </w:rPr>
        <w:t xml:space="preserve">) of the </w:t>
      </w:r>
      <w:r w:rsidR="00680956">
        <w:rPr>
          <w:rFonts w:ascii="Times New Roman" w:hAnsi="Times New Roman" w:cs="Times New Roman"/>
          <w:sz w:val="24"/>
          <w:szCs w:val="24"/>
        </w:rPr>
        <w:t>PC</w:t>
      </w:r>
      <w:r w:rsidRPr="005F60B5">
        <w:rPr>
          <w:rFonts w:ascii="Times New Roman" w:hAnsi="Times New Roman" w:cs="Times New Roman"/>
          <w:sz w:val="24"/>
          <w:szCs w:val="24"/>
        </w:rPr>
        <w:t xml:space="preserve">. BVZ </w:t>
      </w:r>
      <w:r w:rsidR="00680956">
        <w:rPr>
          <w:rFonts w:ascii="Times New Roman" w:hAnsi="Times New Roman" w:cs="Times New Roman"/>
          <w:sz w:val="24"/>
          <w:szCs w:val="24"/>
        </w:rPr>
        <w:t>threatened</w:t>
      </w:r>
      <w:r w:rsidR="00680956" w:rsidRPr="005F60B5">
        <w:rPr>
          <w:rFonts w:ascii="Times New Roman" w:hAnsi="Times New Roman" w:cs="Times New Roman"/>
          <w:sz w:val="24"/>
          <w:szCs w:val="24"/>
        </w:rPr>
        <w:t xml:space="preserve"> </w:t>
      </w:r>
      <w:r w:rsidRPr="005F60B5">
        <w:rPr>
          <w:rFonts w:ascii="Times New Roman" w:hAnsi="Times New Roman" w:cs="Times New Roman"/>
          <w:sz w:val="24"/>
          <w:szCs w:val="24"/>
        </w:rPr>
        <w:t xml:space="preserve">her </w:t>
      </w:r>
      <w:r w:rsidR="00680956">
        <w:rPr>
          <w:rFonts w:ascii="Times New Roman" w:hAnsi="Times New Roman" w:cs="Times New Roman"/>
          <w:sz w:val="24"/>
          <w:szCs w:val="24"/>
        </w:rPr>
        <w:t xml:space="preserve">that </w:t>
      </w:r>
      <w:r w:rsidRPr="005F60B5">
        <w:rPr>
          <w:rFonts w:ascii="Times New Roman" w:hAnsi="Times New Roman" w:cs="Times New Roman"/>
          <w:sz w:val="24"/>
          <w:szCs w:val="24"/>
        </w:rPr>
        <w:t xml:space="preserve">if she refused, he would hit V3. V2 then consumed the pills. BVZ then gave V2 a cigarette and asked her to smoke it; when she did, she began to feel dizzy. BVZ then asked her to give him a “blow job.” However, V2 managed to walk away. She saw V1, and both </w:t>
      </w:r>
      <w:r w:rsidR="00680956">
        <w:rPr>
          <w:rFonts w:ascii="Times New Roman" w:hAnsi="Times New Roman" w:cs="Times New Roman"/>
          <w:sz w:val="24"/>
          <w:szCs w:val="24"/>
        </w:rPr>
        <w:t xml:space="preserve">of them </w:t>
      </w:r>
      <w:r w:rsidRPr="005F60B5">
        <w:rPr>
          <w:rFonts w:ascii="Times New Roman" w:hAnsi="Times New Roman" w:cs="Times New Roman"/>
          <w:sz w:val="24"/>
          <w:szCs w:val="24"/>
        </w:rPr>
        <w:t>went up to V1’s flat where they locked themselves in until the police arrived. They then returned to V3’s flat to meet the police officers. Later, V2 was brought to hospital and found to have symptoms of Nitrazepam overdose.</w:t>
      </w:r>
    </w:p>
    <w:p w14:paraId="3E307DC0"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62E15ED4" w14:textId="212E56F9" w:rsidR="006266BD" w:rsidRPr="00522F1E" w:rsidRDefault="00FC3E8D" w:rsidP="00AB16D7">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(iv) </w:t>
      </w:r>
      <w:r w:rsidR="00F35CCF" w:rsidRPr="005F60B5">
        <w:rPr>
          <w:rFonts w:ascii="Times New Roman" w:hAnsi="Times New Roman" w:cs="Times New Roman"/>
          <w:sz w:val="24"/>
          <w:szCs w:val="24"/>
          <w:u w:val="single"/>
        </w:rPr>
        <w:t>Sentencing</w:t>
      </w:r>
    </w:p>
    <w:p w14:paraId="7AFFCF31" w14:textId="072F53C2"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BVZ pleaded guilty to, and was convicted of: two charges of sexual assault by penetration (fellatio) under section 376(1)(a) of the </w:t>
      </w:r>
      <w:r w:rsidR="00680956">
        <w:rPr>
          <w:rFonts w:ascii="Times New Roman" w:hAnsi="Times New Roman" w:cs="Times New Roman"/>
          <w:sz w:val="24"/>
          <w:szCs w:val="24"/>
        </w:rPr>
        <w:t xml:space="preserve">PC </w:t>
      </w:r>
      <w:r w:rsidRPr="005F60B5">
        <w:rPr>
          <w:rFonts w:ascii="Times New Roman" w:hAnsi="Times New Roman" w:cs="Times New Roman"/>
          <w:sz w:val="24"/>
          <w:szCs w:val="24"/>
        </w:rPr>
        <w:t>(against V1); one charge of causing hurt by means of poison under section 328 of the Penal Code (against V2); and one charge of outrage of modesty under section 354(1) of the Penal Code (against V4). Six other charges were taken into consideration for sentencing.</w:t>
      </w:r>
    </w:p>
    <w:p w14:paraId="42BC8562"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5555E0BC" w14:textId="58B7002B"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The HC held that BVZ was a sexual predator who had preyed on vulnerable minors, and applied the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sentencing framework for the two charges of sexual penetration by way of fellatio. The HC held that these charges each fell within Band 2 of the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sentencing bands</w:t>
      </w:r>
      <w:r w:rsidR="00680956">
        <w:rPr>
          <w:rFonts w:ascii="Times New Roman" w:hAnsi="Times New Roman" w:cs="Times New Roman"/>
          <w:sz w:val="24"/>
          <w:szCs w:val="24"/>
        </w:rPr>
        <w:t xml:space="preserve"> for the following reasons</w:t>
      </w:r>
      <w:r w:rsidR="0001294D">
        <w:rPr>
          <w:rFonts w:ascii="Times New Roman" w:hAnsi="Times New Roman" w:cs="Times New Roman"/>
          <w:sz w:val="24"/>
          <w:szCs w:val="24"/>
        </w:rPr>
        <w:t xml:space="preserve">: </w:t>
      </w:r>
      <w:r w:rsidR="00680956">
        <w:rPr>
          <w:rFonts w:ascii="Times New Roman" w:hAnsi="Times New Roman" w:cs="Times New Roman"/>
          <w:sz w:val="24"/>
          <w:szCs w:val="24"/>
        </w:rPr>
        <w:t>(a)</w:t>
      </w:r>
      <w:r w:rsidRPr="005F60B5">
        <w:rPr>
          <w:rFonts w:ascii="Times New Roman" w:hAnsi="Times New Roman" w:cs="Times New Roman"/>
          <w:sz w:val="24"/>
          <w:szCs w:val="24"/>
        </w:rPr>
        <w:t xml:space="preserve"> V1’s young age</w:t>
      </w:r>
      <w:r w:rsidR="0001294D">
        <w:rPr>
          <w:rFonts w:ascii="Times New Roman" w:hAnsi="Times New Roman" w:cs="Times New Roman"/>
          <w:sz w:val="24"/>
          <w:szCs w:val="24"/>
        </w:rPr>
        <w:t>;</w:t>
      </w:r>
      <w:r w:rsidR="00680956">
        <w:rPr>
          <w:rFonts w:ascii="Times New Roman" w:hAnsi="Times New Roman" w:cs="Times New Roman"/>
          <w:sz w:val="24"/>
          <w:szCs w:val="24"/>
        </w:rPr>
        <w:t xml:space="preserve"> (b)</w:t>
      </w:r>
      <w:r w:rsidRPr="005F60B5">
        <w:rPr>
          <w:rFonts w:ascii="Times New Roman" w:hAnsi="Times New Roman" w:cs="Times New Roman"/>
          <w:sz w:val="24"/>
          <w:szCs w:val="24"/>
        </w:rPr>
        <w:t xml:space="preserve"> the abuse of trust</w:t>
      </w:r>
      <w:r w:rsidR="0001294D">
        <w:rPr>
          <w:rFonts w:ascii="Times New Roman" w:hAnsi="Times New Roman" w:cs="Times New Roman"/>
          <w:sz w:val="24"/>
          <w:szCs w:val="24"/>
        </w:rPr>
        <w:t xml:space="preserve">; </w:t>
      </w:r>
      <w:r w:rsidR="00680956">
        <w:rPr>
          <w:rFonts w:ascii="Times New Roman" w:hAnsi="Times New Roman" w:cs="Times New Roman"/>
          <w:sz w:val="24"/>
          <w:szCs w:val="24"/>
        </w:rPr>
        <w:t>(c)</w:t>
      </w:r>
      <w:r w:rsidRPr="005F60B5">
        <w:rPr>
          <w:rFonts w:ascii="Times New Roman" w:hAnsi="Times New Roman" w:cs="Times New Roman"/>
          <w:sz w:val="24"/>
          <w:szCs w:val="24"/>
        </w:rPr>
        <w:t xml:space="preserve"> the humiliating nature of BVZ’s acts</w:t>
      </w:r>
      <w:r w:rsidR="0001294D">
        <w:rPr>
          <w:rFonts w:ascii="Times New Roman" w:hAnsi="Times New Roman" w:cs="Times New Roman"/>
          <w:sz w:val="24"/>
          <w:szCs w:val="24"/>
        </w:rPr>
        <w:t>;</w:t>
      </w:r>
      <w:r w:rsidR="00680956">
        <w:rPr>
          <w:rFonts w:ascii="Times New Roman" w:hAnsi="Times New Roman" w:cs="Times New Roman"/>
          <w:sz w:val="24"/>
          <w:szCs w:val="24"/>
        </w:rPr>
        <w:t xml:space="preserve"> (d)</w:t>
      </w:r>
      <w:r w:rsidRPr="005F60B5">
        <w:rPr>
          <w:rFonts w:ascii="Times New Roman" w:hAnsi="Times New Roman" w:cs="Times New Roman"/>
          <w:sz w:val="24"/>
          <w:szCs w:val="24"/>
        </w:rPr>
        <w:t xml:space="preserve"> BVZ’s premeditation</w:t>
      </w:r>
      <w:bookmarkStart w:id="0" w:name="_GoBack"/>
      <w:r w:rsidR="00F77E23">
        <w:rPr>
          <w:rStyle w:val="FootnoteReference"/>
          <w:rFonts w:ascii="Times New Roman" w:hAnsi="Times New Roman" w:cs="Times New Roman"/>
          <w:sz w:val="24"/>
          <w:szCs w:val="24"/>
        </w:rPr>
        <w:footnoteReference w:id="4"/>
      </w:r>
      <w:bookmarkEnd w:id="0"/>
      <w:r w:rsidRPr="005F60B5">
        <w:rPr>
          <w:rFonts w:ascii="Times New Roman" w:hAnsi="Times New Roman" w:cs="Times New Roman"/>
          <w:sz w:val="24"/>
          <w:szCs w:val="24"/>
        </w:rPr>
        <w:t xml:space="preserve"> in committing the offences</w:t>
      </w:r>
      <w:r w:rsidR="0001294D">
        <w:rPr>
          <w:rFonts w:ascii="Times New Roman" w:hAnsi="Times New Roman" w:cs="Times New Roman"/>
          <w:sz w:val="24"/>
          <w:szCs w:val="24"/>
        </w:rPr>
        <w:t>;</w:t>
      </w:r>
      <w:r w:rsidR="00680956">
        <w:rPr>
          <w:rFonts w:ascii="Times New Roman" w:hAnsi="Times New Roman" w:cs="Times New Roman"/>
          <w:sz w:val="24"/>
          <w:szCs w:val="24"/>
        </w:rPr>
        <w:t xml:space="preserve"> and (e)</w:t>
      </w:r>
      <w:r w:rsidRPr="005F60B5">
        <w:rPr>
          <w:rFonts w:ascii="Times New Roman" w:hAnsi="Times New Roman" w:cs="Times New Roman"/>
          <w:sz w:val="24"/>
          <w:szCs w:val="24"/>
        </w:rPr>
        <w:t xml:space="preserve"> BVZ’s use of force. However, his guilty plea was a mitigating factor </w:t>
      </w:r>
      <w:r w:rsidR="006E3E9E">
        <w:rPr>
          <w:rFonts w:ascii="Times New Roman" w:hAnsi="Times New Roman" w:cs="Times New Roman"/>
          <w:sz w:val="24"/>
          <w:szCs w:val="24"/>
        </w:rPr>
        <w:t>as this</w:t>
      </w:r>
      <w:r w:rsidRPr="005F60B5">
        <w:rPr>
          <w:rFonts w:ascii="Times New Roman" w:hAnsi="Times New Roman" w:cs="Times New Roman"/>
          <w:sz w:val="24"/>
          <w:szCs w:val="24"/>
        </w:rPr>
        <w:t xml:space="preserve"> spared the victims from having to relive the traumatic events at trial. Thus</w:t>
      </w:r>
      <w:r w:rsidR="00680956">
        <w:rPr>
          <w:rFonts w:ascii="Times New Roman" w:hAnsi="Times New Roman" w:cs="Times New Roman"/>
          <w:sz w:val="24"/>
          <w:szCs w:val="24"/>
        </w:rPr>
        <w:t>,</w:t>
      </w:r>
      <w:r w:rsidRPr="005F60B5">
        <w:rPr>
          <w:rFonts w:ascii="Times New Roman" w:hAnsi="Times New Roman" w:cs="Times New Roman"/>
          <w:sz w:val="24"/>
          <w:szCs w:val="24"/>
        </w:rPr>
        <w:t xml:space="preserve"> the HC sentenced BVZ to ten years’ imprisonment and eight strokes of the cane for each of the two charges. These two sentences were to run consecutively. </w:t>
      </w:r>
      <w:r w:rsidR="00475394">
        <w:rPr>
          <w:rFonts w:ascii="Times New Roman" w:hAnsi="Times New Roman" w:cs="Times New Roman"/>
          <w:sz w:val="24"/>
          <w:szCs w:val="24"/>
        </w:rPr>
        <w:t>The HC held that r</w:t>
      </w:r>
      <w:r w:rsidRPr="005F60B5">
        <w:rPr>
          <w:rFonts w:ascii="Times New Roman" w:hAnsi="Times New Roman" w:cs="Times New Roman"/>
          <w:sz w:val="24"/>
          <w:szCs w:val="24"/>
        </w:rPr>
        <w:t>unning the sentences consecutively would ensure that BVZ received a distinct punishment for his second offence against V1; conversely, it would be unjust if BVZ effectively received no real punishment for sexually assaulting V1 again.</w:t>
      </w:r>
    </w:p>
    <w:p w14:paraId="5A9B67DC"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16EC3B6A" w14:textId="27BFEB74"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For the charge of causing hurt by means of poison, the HC imposed three years’ imprisonment. For the outrage of modesty charge, the HC imposed ten months’ imprisonment. Thus</w:t>
      </w:r>
      <w:r w:rsidR="00680956">
        <w:rPr>
          <w:rFonts w:ascii="Times New Roman" w:hAnsi="Times New Roman" w:cs="Times New Roman"/>
          <w:sz w:val="24"/>
          <w:szCs w:val="24"/>
        </w:rPr>
        <w:t>,</w:t>
      </w:r>
      <w:r w:rsidRPr="005F60B5">
        <w:rPr>
          <w:rFonts w:ascii="Times New Roman" w:hAnsi="Times New Roman" w:cs="Times New Roman"/>
          <w:sz w:val="24"/>
          <w:szCs w:val="24"/>
        </w:rPr>
        <w:t xml:space="preserve"> the total sentence ordered was 20 years’ imprisonment and 16 strokes of the cane.</w:t>
      </w:r>
    </w:p>
    <w:p w14:paraId="7FB018D6" w14:textId="77777777" w:rsidR="006266BD" w:rsidRPr="005F60B5" w:rsidRDefault="006266BD" w:rsidP="00AB16D7">
      <w:pPr>
        <w:pStyle w:val="Standard"/>
        <w:spacing w:line="240" w:lineRule="auto"/>
        <w:jc w:val="both"/>
        <w:rPr>
          <w:rFonts w:ascii="Times New Roman" w:eastAsia="Times New Roman" w:hAnsi="Times New Roman" w:cs="Times New Roman"/>
          <w:sz w:val="24"/>
          <w:szCs w:val="24"/>
        </w:rPr>
      </w:pPr>
    </w:p>
    <w:p w14:paraId="21B5C6F3" w14:textId="77777777" w:rsidR="006266BD" w:rsidRPr="00522F1E" w:rsidRDefault="00F35CCF" w:rsidP="00AB16D7">
      <w:pPr>
        <w:pStyle w:val="Standard"/>
        <w:spacing w:line="240" w:lineRule="auto"/>
        <w:rPr>
          <w:rFonts w:ascii="Times New Roman" w:hAnsi="Times New Roman" w:cs="Times New Roman"/>
          <w:sz w:val="24"/>
          <w:szCs w:val="24"/>
        </w:rPr>
      </w:pPr>
      <w:r w:rsidRPr="00522F1E">
        <w:rPr>
          <w:rFonts w:ascii="Times New Roman" w:hAnsi="Times New Roman" w:cs="Times New Roman"/>
          <w:b/>
          <w:sz w:val="24"/>
          <w:szCs w:val="24"/>
        </w:rPr>
        <w:t>III.</w:t>
      </w:r>
      <w:r w:rsidRPr="00522F1E">
        <w:rPr>
          <w:rFonts w:ascii="Times New Roman" w:hAnsi="Times New Roman" w:cs="Times New Roman"/>
          <w:b/>
          <w:sz w:val="24"/>
          <w:szCs w:val="24"/>
        </w:rPr>
        <w:tab/>
        <w:t>Issues on Appeal</w:t>
      </w:r>
    </w:p>
    <w:p w14:paraId="59F95DE7" w14:textId="3765783E" w:rsidR="00BC038F" w:rsidRDefault="00F35CCF" w:rsidP="00BC038F">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The CA decided two issues:</w:t>
      </w:r>
    </w:p>
    <w:p w14:paraId="2B6934B6" w14:textId="31D76187" w:rsidR="006266BD" w:rsidRPr="005F60B5" w:rsidRDefault="00BC038F" w:rsidP="00BC038F">
      <w:pPr>
        <w:pStyle w:val="Standard"/>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35CCF" w:rsidRPr="005F60B5">
        <w:rPr>
          <w:rFonts w:ascii="Times New Roman" w:hAnsi="Times New Roman" w:cs="Times New Roman"/>
          <w:sz w:val="24"/>
          <w:szCs w:val="24"/>
        </w:rPr>
        <w:t xml:space="preserve">Whether </w:t>
      </w:r>
      <w:r w:rsidR="00F35CCF" w:rsidRPr="00BC038F">
        <w:rPr>
          <w:rFonts w:ascii="Times New Roman" w:hAnsi="Times New Roman" w:cs="Times New Roman"/>
          <w:sz w:val="24"/>
          <w:szCs w:val="24"/>
        </w:rPr>
        <w:t xml:space="preserve">Pram Nair </w:t>
      </w:r>
      <w:r w:rsidR="00F35CCF" w:rsidRPr="005F60B5">
        <w:rPr>
          <w:rFonts w:ascii="Times New Roman" w:hAnsi="Times New Roman" w:cs="Times New Roman"/>
          <w:sz w:val="24"/>
          <w:szCs w:val="24"/>
        </w:rPr>
        <w:t>sentencing applied to all permutations of sexual penetration in section 376 of the Penal Code and whether there was a hierarchy of severity for the various permutations of sexual penetration in section 376 of the Penal Code; and</w:t>
      </w:r>
    </w:p>
    <w:p w14:paraId="7E180527" w14:textId="74C8CE0F" w:rsidR="006266BD" w:rsidRPr="005F60B5" w:rsidRDefault="00BC038F" w:rsidP="00BC038F">
      <w:pPr>
        <w:pStyle w:val="Standard"/>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35CCF" w:rsidRPr="005F60B5">
        <w:rPr>
          <w:rFonts w:ascii="Times New Roman" w:hAnsi="Times New Roman" w:cs="Times New Roman"/>
          <w:sz w:val="24"/>
          <w:szCs w:val="24"/>
        </w:rPr>
        <w:t>Whether the sentences for BPH and BVZ were appropriate.</w:t>
      </w:r>
    </w:p>
    <w:p w14:paraId="7A8A9D9A" w14:textId="77777777" w:rsidR="006266BD" w:rsidRPr="005F60B5" w:rsidRDefault="006266BD" w:rsidP="00AB16D7">
      <w:pPr>
        <w:pStyle w:val="Standard"/>
        <w:spacing w:line="240" w:lineRule="auto"/>
        <w:jc w:val="both"/>
        <w:rPr>
          <w:rFonts w:ascii="Times New Roman" w:eastAsia="Times New Roman" w:hAnsi="Times New Roman" w:cs="Times New Roman"/>
          <w:sz w:val="24"/>
          <w:szCs w:val="24"/>
        </w:rPr>
      </w:pPr>
    </w:p>
    <w:p w14:paraId="32CD27A4" w14:textId="4B2D5E80" w:rsidR="006266BD"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The CA also </w:t>
      </w:r>
      <w:r w:rsidR="0090393C">
        <w:rPr>
          <w:rFonts w:ascii="Times New Roman" w:hAnsi="Times New Roman" w:cs="Times New Roman"/>
          <w:sz w:val="24"/>
          <w:szCs w:val="24"/>
        </w:rPr>
        <w:t>discussed</w:t>
      </w:r>
      <w:r w:rsidR="0090393C" w:rsidRPr="005F60B5">
        <w:rPr>
          <w:rFonts w:ascii="Times New Roman" w:hAnsi="Times New Roman" w:cs="Times New Roman"/>
          <w:sz w:val="24"/>
          <w:szCs w:val="24"/>
        </w:rPr>
        <w:t xml:space="preserve"> </w:t>
      </w:r>
      <w:r w:rsidRPr="005F60B5">
        <w:rPr>
          <w:rFonts w:ascii="Times New Roman" w:hAnsi="Times New Roman" w:cs="Times New Roman"/>
          <w:sz w:val="24"/>
          <w:szCs w:val="24"/>
        </w:rPr>
        <w:t>whether the</w:t>
      </w:r>
      <w:r w:rsidR="00C47D5E">
        <w:rPr>
          <w:rFonts w:ascii="Times New Roman" w:hAnsi="Times New Roman" w:cs="Times New Roman"/>
          <w:sz w:val="24"/>
          <w:szCs w:val="24"/>
        </w:rPr>
        <w:t xml:space="preserve"> HC in</w:t>
      </w:r>
      <w:r w:rsidRPr="005F60B5">
        <w:rPr>
          <w:rFonts w:ascii="Times New Roman" w:hAnsi="Times New Roman" w:cs="Times New Roman"/>
          <w:sz w:val="24"/>
          <w:szCs w:val="24"/>
        </w:rPr>
        <w:t xml:space="preserve"> </w:t>
      </w:r>
      <w:r w:rsidRPr="005F60B5">
        <w:rPr>
          <w:rFonts w:ascii="Times New Roman" w:hAnsi="Times New Roman" w:cs="Times New Roman"/>
          <w:i/>
          <w:sz w:val="24"/>
          <w:szCs w:val="24"/>
        </w:rPr>
        <w:t>BPH</w:t>
      </w:r>
      <w:r w:rsidRPr="005F60B5">
        <w:rPr>
          <w:rFonts w:ascii="Times New Roman" w:hAnsi="Times New Roman" w:cs="Times New Roman"/>
          <w:sz w:val="24"/>
          <w:szCs w:val="24"/>
        </w:rPr>
        <w:t xml:space="preserve"> correctly adjusted the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sentencing bands on the premise that digital-anal penetration was less serious than digital-vaginal penetration, and whether the</w:t>
      </w:r>
      <w:r w:rsidR="00C47D5E">
        <w:rPr>
          <w:rFonts w:ascii="Times New Roman" w:hAnsi="Times New Roman" w:cs="Times New Roman"/>
          <w:sz w:val="24"/>
          <w:szCs w:val="24"/>
        </w:rPr>
        <w:t xml:space="preserve"> HC in</w:t>
      </w:r>
      <w:r w:rsidRPr="005F60B5">
        <w:rPr>
          <w:rFonts w:ascii="Times New Roman" w:hAnsi="Times New Roman" w:cs="Times New Roman"/>
          <w:sz w:val="24"/>
          <w:szCs w:val="24"/>
        </w:rPr>
        <w:t xml:space="preserve"> </w:t>
      </w:r>
      <w:r w:rsidRPr="005F60B5">
        <w:rPr>
          <w:rFonts w:ascii="Times New Roman" w:hAnsi="Times New Roman" w:cs="Times New Roman"/>
          <w:i/>
          <w:sz w:val="24"/>
          <w:szCs w:val="24"/>
        </w:rPr>
        <w:t>BVZ</w:t>
      </w:r>
      <w:r w:rsidRPr="005F60B5">
        <w:rPr>
          <w:rFonts w:ascii="Times New Roman" w:hAnsi="Times New Roman" w:cs="Times New Roman"/>
          <w:sz w:val="24"/>
          <w:szCs w:val="24"/>
        </w:rPr>
        <w:t xml:space="preserve"> was right to apply the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framework to sexual penetration by way of fellatio.</w:t>
      </w:r>
    </w:p>
    <w:p w14:paraId="268F3649" w14:textId="77777777" w:rsidR="00F90D67" w:rsidRPr="005F60B5" w:rsidRDefault="00F90D67" w:rsidP="00AB16D7">
      <w:pPr>
        <w:pStyle w:val="Standard"/>
        <w:spacing w:line="240" w:lineRule="auto"/>
        <w:jc w:val="both"/>
        <w:rPr>
          <w:rFonts w:ascii="Times New Roman" w:hAnsi="Times New Roman" w:cs="Times New Roman"/>
          <w:sz w:val="24"/>
          <w:szCs w:val="24"/>
        </w:rPr>
      </w:pPr>
    </w:p>
    <w:p w14:paraId="73444645" w14:textId="77777777" w:rsidR="006266BD" w:rsidRPr="0010188C" w:rsidRDefault="00F35CCF" w:rsidP="00522F1E">
      <w:pPr>
        <w:pStyle w:val="Standard"/>
        <w:numPr>
          <w:ilvl w:val="0"/>
          <w:numId w:val="13"/>
        </w:numPr>
        <w:spacing w:line="240" w:lineRule="auto"/>
        <w:jc w:val="both"/>
        <w:rPr>
          <w:rFonts w:ascii="Times New Roman" w:hAnsi="Times New Roman" w:cs="Times New Roman"/>
          <w:b/>
          <w:i/>
          <w:sz w:val="24"/>
          <w:szCs w:val="24"/>
        </w:rPr>
      </w:pPr>
      <w:r w:rsidRPr="00B738DA">
        <w:rPr>
          <w:rFonts w:ascii="Times New Roman" w:hAnsi="Times New Roman" w:cs="Times New Roman"/>
          <w:b/>
          <w:i/>
          <w:sz w:val="24"/>
          <w:szCs w:val="24"/>
        </w:rPr>
        <w:t>Applicability of Pram Nair sentencing framework, and hierarchy of severity</w:t>
      </w:r>
    </w:p>
    <w:p w14:paraId="1D48C39F" w14:textId="76140EAC" w:rsidR="006266BD" w:rsidRPr="00522F1E" w:rsidRDefault="00F35CCF" w:rsidP="00522F1E">
      <w:pPr>
        <w:pStyle w:val="Standard"/>
        <w:spacing w:line="240" w:lineRule="auto"/>
        <w:jc w:val="both"/>
        <w:rPr>
          <w:rFonts w:ascii="Times New Roman" w:hAnsi="Times New Roman" w:cs="Times New Roman"/>
          <w:iCs/>
          <w:sz w:val="24"/>
          <w:szCs w:val="24"/>
        </w:rPr>
      </w:pPr>
      <w:r w:rsidRPr="00522F1E">
        <w:rPr>
          <w:rFonts w:ascii="Times New Roman" w:hAnsi="Times New Roman" w:cs="Times New Roman"/>
          <w:iCs/>
          <w:sz w:val="24"/>
          <w:szCs w:val="24"/>
        </w:rPr>
        <w:lastRenderedPageBreak/>
        <w:t xml:space="preserve">The </w:t>
      </w:r>
      <w:r w:rsidR="00B738DA">
        <w:rPr>
          <w:rFonts w:ascii="Times New Roman" w:hAnsi="Times New Roman" w:cs="Times New Roman"/>
          <w:iCs/>
          <w:sz w:val="24"/>
          <w:szCs w:val="24"/>
        </w:rPr>
        <w:t>CA</w:t>
      </w:r>
      <w:r w:rsidR="00B738DA" w:rsidRPr="00522F1E">
        <w:rPr>
          <w:rFonts w:ascii="Times New Roman" w:hAnsi="Times New Roman" w:cs="Times New Roman"/>
          <w:iCs/>
          <w:sz w:val="24"/>
          <w:szCs w:val="24"/>
        </w:rPr>
        <w:t xml:space="preserve"> </w:t>
      </w:r>
      <w:r w:rsidRPr="00522F1E">
        <w:rPr>
          <w:rFonts w:ascii="Times New Roman" w:hAnsi="Times New Roman" w:cs="Times New Roman"/>
          <w:iCs/>
          <w:sz w:val="24"/>
          <w:szCs w:val="24"/>
        </w:rPr>
        <w:t xml:space="preserve">held that the </w:t>
      </w:r>
      <w:r w:rsidRPr="00D37B41">
        <w:rPr>
          <w:rFonts w:ascii="Times New Roman" w:hAnsi="Times New Roman" w:cs="Times New Roman"/>
          <w:i/>
          <w:sz w:val="24"/>
          <w:szCs w:val="24"/>
        </w:rPr>
        <w:t>Pram Nair</w:t>
      </w:r>
      <w:r w:rsidRPr="00522F1E">
        <w:rPr>
          <w:rFonts w:ascii="Times New Roman" w:hAnsi="Times New Roman" w:cs="Times New Roman"/>
          <w:iCs/>
          <w:sz w:val="24"/>
          <w:szCs w:val="24"/>
        </w:rPr>
        <w:t xml:space="preserve"> sentencing framework applied to all permutations of sexual penetration under section 376 of the </w:t>
      </w:r>
      <w:r w:rsidR="00C47D5E">
        <w:rPr>
          <w:rFonts w:ascii="Times New Roman" w:hAnsi="Times New Roman" w:cs="Times New Roman"/>
          <w:iCs/>
          <w:sz w:val="24"/>
          <w:szCs w:val="24"/>
        </w:rPr>
        <w:t>PC</w:t>
      </w:r>
      <w:r w:rsidRPr="00522F1E">
        <w:rPr>
          <w:rFonts w:ascii="Times New Roman" w:hAnsi="Times New Roman" w:cs="Times New Roman"/>
          <w:iCs/>
          <w:sz w:val="24"/>
          <w:szCs w:val="24"/>
        </w:rPr>
        <w:t>, but there would be no hierarchy of severity for those permutations.</w:t>
      </w:r>
    </w:p>
    <w:p w14:paraId="0B857CA9" w14:textId="77777777" w:rsidR="006266BD" w:rsidRPr="00522F1E" w:rsidRDefault="006266BD" w:rsidP="00522F1E">
      <w:pPr>
        <w:pStyle w:val="Standard"/>
        <w:spacing w:line="240" w:lineRule="auto"/>
        <w:ind w:left="540"/>
        <w:jc w:val="both"/>
        <w:rPr>
          <w:rFonts w:ascii="Times New Roman" w:hAnsi="Times New Roman" w:cs="Times New Roman"/>
          <w:sz w:val="24"/>
          <w:szCs w:val="24"/>
        </w:rPr>
      </w:pPr>
    </w:p>
    <w:p w14:paraId="1B0C2754" w14:textId="77777777" w:rsidR="006266BD" w:rsidRPr="00F82522" w:rsidRDefault="00F35CCF" w:rsidP="00AB16D7">
      <w:pPr>
        <w:pStyle w:val="Standard"/>
        <w:spacing w:line="240" w:lineRule="auto"/>
        <w:jc w:val="both"/>
        <w:rPr>
          <w:rFonts w:ascii="Times New Roman" w:hAnsi="Times New Roman" w:cs="Times New Roman"/>
          <w:iCs/>
          <w:sz w:val="24"/>
          <w:szCs w:val="24"/>
          <w:u w:val="single"/>
        </w:rPr>
      </w:pPr>
      <w:r w:rsidRPr="00007C45">
        <w:rPr>
          <w:rFonts w:ascii="Times New Roman" w:hAnsi="Times New Roman" w:cs="Times New Roman"/>
          <w:iCs/>
          <w:sz w:val="24"/>
          <w:szCs w:val="24"/>
          <w:u w:val="single"/>
        </w:rPr>
        <w:t>(</w:t>
      </w:r>
      <w:proofErr w:type="spellStart"/>
      <w:r w:rsidRPr="00007C45">
        <w:rPr>
          <w:rFonts w:ascii="Times New Roman" w:hAnsi="Times New Roman" w:cs="Times New Roman"/>
          <w:iCs/>
          <w:sz w:val="24"/>
          <w:szCs w:val="24"/>
          <w:u w:val="single"/>
        </w:rPr>
        <w:t>i</w:t>
      </w:r>
      <w:proofErr w:type="spellEnd"/>
      <w:r w:rsidRPr="00007C45">
        <w:rPr>
          <w:rFonts w:ascii="Times New Roman" w:hAnsi="Times New Roman" w:cs="Times New Roman"/>
          <w:iCs/>
          <w:sz w:val="24"/>
          <w:szCs w:val="24"/>
          <w:u w:val="single"/>
        </w:rPr>
        <w:t>) Background</w:t>
      </w:r>
    </w:p>
    <w:p w14:paraId="3C4D8361" w14:textId="5771920B"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Sexual offences </w:t>
      </w:r>
      <w:r w:rsidR="00C47D5E">
        <w:rPr>
          <w:rFonts w:ascii="Times New Roman" w:hAnsi="Times New Roman" w:cs="Times New Roman"/>
          <w:sz w:val="24"/>
          <w:szCs w:val="24"/>
        </w:rPr>
        <w:t xml:space="preserve">may fall </w:t>
      </w:r>
      <w:r w:rsidRPr="005F60B5">
        <w:rPr>
          <w:rFonts w:ascii="Times New Roman" w:hAnsi="Times New Roman" w:cs="Times New Roman"/>
          <w:sz w:val="24"/>
          <w:szCs w:val="24"/>
        </w:rPr>
        <w:t>under section</w:t>
      </w:r>
      <w:r w:rsidR="00E81B5D">
        <w:rPr>
          <w:rFonts w:ascii="Times New Roman" w:hAnsi="Times New Roman" w:cs="Times New Roman"/>
          <w:sz w:val="24"/>
          <w:szCs w:val="24"/>
        </w:rPr>
        <w:t>s</w:t>
      </w:r>
      <w:r w:rsidRPr="005F60B5">
        <w:rPr>
          <w:rFonts w:ascii="Times New Roman" w:hAnsi="Times New Roman" w:cs="Times New Roman"/>
          <w:sz w:val="24"/>
          <w:szCs w:val="24"/>
        </w:rPr>
        <w:t xml:space="preserve"> 375 and 376 of the </w:t>
      </w:r>
      <w:r w:rsidR="00C47D5E">
        <w:rPr>
          <w:rFonts w:ascii="Times New Roman" w:hAnsi="Times New Roman" w:cs="Times New Roman"/>
          <w:sz w:val="24"/>
          <w:szCs w:val="24"/>
        </w:rPr>
        <w:t>PC</w:t>
      </w:r>
      <w:r w:rsidRPr="005F60B5">
        <w:rPr>
          <w:rFonts w:ascii="Times New Roman" w:hAnsi="Times New Roman" w:cs="Times New Roman"/>
          <w:sz w:val="24"/>
          <w:szCs w:val="24"/>
        </w:rPr>
        <w:t xml:space="preserve">. The offence of rape, which is generally regarded as the gravest of all the sexual offences, is set out in section 375. </w:t>
      </w:r>
      <w:r w:rsidR="00987C1D">
        <w:rPr>
          <w:rFonts w:ascii="Times New Roman" w:hAnsi="Times New Roman" w:cs="Times New Roman"/>
          <w:sz w:val="24"/>
          <w:szCs w:val="24"/>
        </w:rPr>
        <w:t>It</w:t>
      </w:r>
      <w:r w:rsidRPr="005F60B5">
        <w:rPr>
          <w:rFonts w:ascii="Times New Roman" w:hAnsi="Times New Roman" w:cs="Times New Roman"/>
          <w:sz w:val="24"/>
          <w:szCs w:val="24"/>
        </w:rPr>
        <w:t xml:space="preserve"> defines rape as the penetration of a woman’s vagina with the offender’s penis, without the victim’s consent or</w:t>
      </w:r>
      <w:r w:rsidR="00921371">
        <w:rPr>
          <w:rFonts w:ascii="Times New Roman" w:hAnsi="Times New Roman" w:cs="Times New Roman"/>
          <w:sz w:val="24"/>
          <w:szCs w:val="24"/>
        </w:rPr>
        <w:t xml:space="preserve"> – </w:t>
      </w:r>
      <w:r w:rsidRPr="005F60B5">
        <w:rPr>
          <w:rFonts w:ascii="Times New Roman" w:hAnsi="Times New Roman" w:cs="Times New Roman"/>
          <w:sz w:val="24"/>
          <w:szCs w:val="24"/>
        </w:rPr>
        <w:t>when the victim is under 14 years old</w:t>
      </w:r>
      <w:r w:rsidR="00921371">
        <w:rPr>
          <w:rFonts w:ascii="Times New Roman" w:hAnsi="Times New Roman" w:cs="Times New Roman"/>
          <w:sz w:val="24"/>
          <w:szCs w:val="24"/>
        </w:rPr>
        <w:t xml:space="preserve"> –</w:t>
      </w:r>
      <w:r w:rsidRPr="005F60B5">
        <w:rPr>
          <w:rFonts w:ascii="Times New Roman" w:hAnsi="Times New Roman" w:cs="Times New Roman"/>
          <w:sz w:val="24"/>
          <w:szCs w:val="24"/>
        </w:rPr>
        <w:t xml:space="preserve"> regardless of consent.</w:t>
      </w:r>
    </w:p>
    <w:p w14:paraId="04B5ED1E"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5256594F" w14:textId="4084374F"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In contrast, the offence of sexual assault by penetration in section 376 is defined more broadly. The offence has many permutations, depending on the instrument of penetration (penis, finger, other body part or object), the orifice being penetrated (mouth, vagina or anus), the genders of the perpetrator and the victim, who did the penetration or caused the penetration, and who was penetrated.</w:t>
      </w:r>
    </w:p>
    <w:p w14:paraId="55AD1B7E"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6D048AE9" w14:textId="70D86C27"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i/>
          <w:sz w:val="24"/>
          <w:szCs w:val="24"/>
        </w:rPr>
        <w:t>Ng Kean Meng Terence v Public Prosecutor</w:t>
      </w:r>
      <w:r w:rsidRPr="00522F1E">
        <w:rPr>
          <w:rFonts w:ascii="Times New Roman" w:hAnsi="Times New Roman" w:cs="Times New Roman"/>
          <w:sz w:val="24"/>
          <w:szCs w:val="24"/>
        </w:rPr>
        <w:t xml:space="preserve"> [2017] 2 SLR 449 (“</w:t>
      </w:r>
      <w:r w:rsidRPr="00522F1E">
        <w:rPr>
          <w:rFonts w:ascii="Times New Roman" w:hAnsi="Times New Roman" w:cs="Times New Roman"/>
          <w:b/>
          <w:i/>
          <w:sz w:val="24"/>
          <w:szCs w:val="24"/>
        </w:rPr>
        <w:t>Terence Ng</w:t>
      </w:r>
      <w:r w:rsidRPr="00522F1E">
        <w:rPr>
          <w:rFonts w:ascii="Times New Roman" w:hAnsi="Times New Roman" w:cs="Times New Roman"/>
          <w:sz w:val="24"/>
          <w:szCs w:val="24"/>
        </w:rPr>
        <w:t>”)</w:t>
      </w:r>
      <w:r w:rsidR="00C47D5E">
        <w:rPr>
          <w:rFonts w:ascii="Times New Roman" w:hAnsi="Times New Roman" w:cs="Times New Roman"/>
          <w:sz w:val="24"/>
          <w:szCs w:val="24"/>
        </w:rPr>
        <w:t xml:space="preserve"> established a two-step se</w:t>
      </w:r>
      <w:r w:rsidR="0001294D">
        <w:rPr>
          <w:rFonts w:ascii="Times New Roman" w:hAnsi="Times New Roman" w:cs="Times New Roman"/>
          <w:sz w:val="24"/>
          <w:szCs w:val="24"/>
        </w:rPr>
        <w:t>n</w:t>
      </w:r>
      <w:r w:rsidR="00C47D5E">
        <w:rPr>
          <w:rFonts w:ascii="Times New Roman" w:hAnsi="Times New Roman" w:cs="Times New Roman"/>
          <w:sz w:val="24"/>
          <w:szCs w:val="24"/>
        </w:rPr>
        <w:t>tencing framework for offences under section 375 of the PC</w:t>
      </w:r>
      <w:r w:rsidR="0001294D">
        <w:rPr>
          <w:rFonts w:ascii="Times New Roman" w:hAnsi="Times New Roman" w:cs="Times New Roman"/>
          <w:sz w:val="24"/>
          <w:szCs w:val="24"/>
        </w:rPr>
        <w:t xml:space="preserve"> (i.e. rape)</w:t>
      </w:r>
      <w:r w:rsidRPr="00522F1E">
        <w:rPr>
          <w:rFonts w:ascii="Times New Roman" w:hAnsi="Times New Roman" w:cs="Times New Roman"/>
          <w:i/>
          <w:sz w:val="24"/>
          <w:szCs w:val="24"/>
        </w:rPr>
        <w:t>.</w:t>
      </w:r>
      <w:r w:rsidRPr="005F60B5">
        <w:rPr>
          <w:rFonts w:ascii="Times New Roman" w:hAnsi="Times New Roman" w:cs="Times New Roman"/>
          <w:i/>
          <w:sz w:val="24"/>
          <w:szCs w:val="24"/>
        </w:rPr>
        <w:t xml:space="preserve"> </w:t>
      </w:r>
      <w:r w:rsidRPr="005F60B5">
        <w:rPr>
          <w:rFonts w:ascii="Times New Roman" w:hAnsi="Times New Roman" w:cs="Times New Roman"/>
          <w:sz w:val="24"/>
          <w:szCs w:val="24"/>
        </w:rPr>
        <w:t xml:space="preserve">At the </w:t>
      </w:r>
      <w:r w:rsidRPr="00F82522">
        <w:rPr>
          <w:rFonts w:ascii="Times New Roman" w:hAnsi="Times New Roman" w:cs="Times New Roman"/>
          <w:i/>
          <w:iCs/>
          <w:sz w:val="24"/>
          <w:szCs w:val="24"/>
        </w:rPr>
        <w:t>first</w:t>
      </w:r>
      <w:r w:rsidRPr="005F60B5">
        <w:rPr>
          <w:rFonts w:ascii="Times New Roman" w:hAnsi="Times New Roman" w:cs="Times New Roman"/>
          <w:sz w:val="24"/>
          <w:szCs w:val="24"/>
        </w:rPr>
        <w:t xml:space="preserve"> step, the court identifies which band (or category) the offence in question falls within, based on the manner and mode of the offence, as well as the harm caused to the victim. At the </w:t>
      </w:r>
      <w:r w:rsidRPr="00F82522">
        <w:rPr>
          <w:rFonts w:ascii="Times New Roman" w:hAnsi="Times New Roman" w:cs="Times New Roman"/>
          <w:i/>
          <w:iCs/>
          <w:sz w:val="24"/>
          <w:szCs w:val="24"/>
        </w:rPr>
        <w:t>second</w:t>
      </w:r>
      <w:r w:rsidRPr="005F60B5">
        <w:rPr>
          <w:rFonts w:ascii="Times New Roman" w:hAnsi="Times New Roman" w:cs="Times New Roman"/>
          <w:sz w:val="24"/>
          <w:szCs w:val="24"/>
        </w:rPr>
        <w:t xml:space="preserve"> step, the court will consider the aggravating and mitigating factors which are personal to the offender, to calibrate the appropriate sentence. These relate to the offender’s personal circumstances, and are distinct from the factors considered in the first step.</w:t>
      </w:r>
    </w:p>
    <w:p w14:paraId="6251FA30"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7DF7F2DA" w14:textId="2F1D1B55"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In </w:t>
      </w:r>
      <w:r w:rsidRPr="005F60B5">
        <w:rPr>
          <w:rFonts w:ascii="Times New Roman" w:hAnsi="Times New Roman" w:cs="Times New Roman"/>
          <w:i/>
          <w:sz w:val="24"/>
          <w:szCs w:val="24"/>
        </w:rPr>
        <w:t>Pram Nair</w:t>
      </w:r>
      <w:r w:rsidRPr="005F60B5">
        <w:rPr>
          <w:rFonts w:ascii="Times New Roman" w:hAnsi="Times New Roman" w:cs="Times New Roman"/>
          <w:sz w:val="24"/>
          <w:szCs w:val="24"/>
        </w:rPr>
        <w:t>,</w:t>
      </w:r>
      <w:r w:rsidRPr="005F60B5">
        <w:rPr>
          <w:rFonts w:ascii="Times New Roman" w:hAnsi="Times New Roman" w:cs="Times New Roman"/>
          <w:i/>
          <w:sz w:val="24"/>
          <w:szCs w:val="24"/>
        </w:rPr>
        <w:t xml:space="preserve"> </w:t>
      </w:r>
      <w:r w:rsidRPr="005F60B5">
        <w:rPr>
          <w:rFonts w:ascii="Times New Roman" w:hAnsi="Times New Roman" w:cs="Times New Roman"/>
          <w:sz w:val="24"/>
          <w:szCs w:val="24"/>
        </w:rPr>
        <w:t xml:space="preserve">the CA adapted the </w:t>
      </w:r>
      <w:r w:rsidRPr="005F60B5">
        <w:rPr>
          <w:rFonts w:ascii="Times New Roman" w:hAnsi="Times New Roman" w:cs="Times New Roman"/>
          <w:i/>
          <w:sz w:val="24"/>
          <w:szCs w:val="24"/>
        </w:rPr>
        <w:t xml:space="preserve">Terence Ng </w:t>
      </w:r>
      <w:r w:rsidRPr="005F60B5">
        <w:rPr>
          <w:rFonts w:ascii="Times New Roman" w:hAnsi="Times New Roman" w:cs="Times New Roman"/>
          <w:sz w:val="24"/>
          <w:szCs w:val="24"/>
        </w:rPr>
        <w:t xml:space="preserve">framework for the offence of “digital-vaginal penetration” (under section 376 of the </w:t>
      </w:r>
      <w:r w:rsidR="00C47D5E">
        <w:rPr>
          <w:rFonts w:ascii="Times New Roman" w:hAnsi="Times New Roman" w:cs="Times New Roman"/>
          <w:sz w:val="24"/>
          <w:szCs w:val="24"/>
        </w:rPr>
        <w:t>PC</w:t>
      </w:r>
      <w:r w:rsidRPr="005F60B5">
        <w:rPr>
          <w:rFonts w:ascii="Times New Roman" w:hAnsi="Times New Roman" w:cs="Times New Roman"/>
          <w:sz w:val="24"/>
          <w:szCs w:val="24"/>
        </w:rPr>
        <w:t>). The two-step approach was retained, but the sentencing bands were adjusted downwards</w:t>
      </w:r>
      <w:r w:rsidR="00896DDF">
        <w:rPr>
          <w:rFonts w:ascii="Times New Roman" w:hAnsi="Times New Roman" w:cs="Times New Roman"/>
          <w:sz w:val="24"/>
          <w:szCs w:val="24"/>
        </w:rPr>
        <w:t>,</w:t>
      </w:r>
      <w:r w:rsidRPr="005F60B5">
        <w:rPr>
          <w:rFonts w:ascii="Times New Roman" w:hAnsi="Times New Roman" w:cs="Times New Roman"/>
          <w:sz w:val="24"/>
          <w:szCs w:val="24"/>
        </w:rPr>
        <w:t xml:space="preserve"> with regard to the duration of imprisonment and number of strokes of the cane</w:t>
      </w:r>
      <w:r w:rsidR="00896DDF">
        <w:rPr>
          <w:rFonts w:ascii="Times New Roman" w:hAnsi="Times New Roman" w:cs="Times New Roman"/>
          <w:sz w:val="24"/>
          <w:szCs w:val="24"/>
        </w:rPr>
        <w:t>. This was</w:t>
      </w:r>
      <w:r w:rsidRPr="005F60B5">
        <w:rPr>
          <w:rFonts w:ascii="Times New Roman" w:hAnsi="Times New Roman" w:cs="Times New Roman"/>
          <w:sz w:val="24"/>
          <w:szCs w:val="24"/>
        </w:rPr>
        <w:t xml:space="preserve"> because there was an “intelligible and defensible difference” between rape and digital penetration in terms of the severity of the offence.</w:t>
      </w:r>
    </w:p>
    <w:p w14:paraId="2C2C9938"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45FED548" w14:textId="2AE83D6E"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Band 1 involved cases with no or limited offence-specific aggravating factors, and attracted sentences of 7-10 years’ imprisonment and four strokes of the cane. Band 2 comprised cases with two or more offence-specific aggravating factors, and attracted sentences of 10-15 years’ imprisonment and eight strokes of the cane. Band 3 comprised extremely serious cases with a high number and intensity of offence-specific aggravating factors.</w:t>
      </w:r>
      <w:r w:rsidR="00B92416" w:rsidRPr="005F60B5">
        <w:rPr>
          <w:rStyle w:val="FootnoteReference"/>
          <w:rFonts w:ascii="Times New Roman" w:hAnsi="Times New Roman" w:cs="Times New Roman"/>
          <w:sz w:val="24"/>
          <w:szCs w:val="24"/>
        </w:rPr>
        <w:footnoteReference w:id="5"/>
      </w:r>
      <w:r w:rsidRPr="005F60B5">
        <w:rPr>
          <w:rFonts w:ascii="Times New Roman" w:hAnsi="Times New Roman" w:cs="Times New Roman"/>
          <w:sz w:val="24"/>
          <w:szCs w:val="24"/>
        </w:rPr>
        <w:t xml:space="preserve"> Such cases would attract sentences </w:t>
      </w:r>
      <w:r w:rsidR="00437AA2" w:rsidRPr="005F60B5">
        <w:rPr>
          <w:rFonts w:ascii="Times New Roman" w:hAnsi="Times New Roman" w:cs="Times New Roman"/>
          <w:sz w:val="24"/>
          <w:szCs w:val="24"/>
        </w:rPr>
        <w:t xml:space="preserve">of </w:t>
      </w:r>
      <w:r w:rsidRPr="005F60B5">
        <w:rPr>
          <w:rFonts w:ascii="Times New Roman" w:hAnsi="Times New Roman" w:cs="Times New Roman"/>
          <w:sz w:val="24"/>
          <w:szCs w:val="24"/>
        </w:rPr>
        <w:t>between 15–20 years’ imprisonment and 12 strokes of the cane.</w:t>
      </w:r>
    </w:p>
    <w:p w14:paraId="5C490020"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7796A4B6" w14:textId="53C96A59" w:rsidR="006266BD" w:rsidRPr="005F60B5" w:rsidRDefault="00BA3BF2" w:rsidP="00AB16D7">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F35CCF" w:rsidRPr="005F60B5">
        <w:rPr>
          <w:rFonts w:ascii="Times New Roman" w:hAnsi="Times New Roman" w:cs="Times New Roman"/>
          <w:sz w:val="24"/>
          <w:szCs w:val="24"/>
        </w:rPr>
        <w:t>here either of the two statutory aggravating factors were present (</w:t>
      </w:r>
      <w:proofErr w:type="spellStart"/>
      <w:r w:rsidR="00C47D5E" w:rsidRPr="00C47D5E">
        <w:rPr>
          <w:rFonts w:ascii="Times New Roman" w:hAnsi="Times New Roman" w:cs="Times New Roman"/>
          <w:i/>
          <w:sz w:val="24"/>
          <w:szCs w:val="24"/>
        </w:rPr>
        <w:t>ie</w:t>
      </w:r>
      <w:proofErr w:type="spellEnd"/>
      <w:r w:rsidR="00C47D5E">
        <w:rPr>
          <w:rFonts w:ascii="Times New Roman" w:hAnsi="Times New Roman" w:cs="Times New Roman"/>
          <w:sz w:val="24"/>
          <w:szCs w:val="24"/>
        </w:rPr>
        <w:t xml:space="preserve">, </w:t>
      </w:r>
      <w:r w:rsidR="00F35CCF" w:rsidRPr="005F60B5">
        <w:rPr>
          <w:rFonts w:ascii="Times New Roman" w:hAnsi="Times New Roman" w:cs="Times New Roman"/>
          <w:sz w:val="24"/>
          <w:szCs w:val="24"/>
        </w:rPr>
        <w:t xml:space="preserve">voluntarily causing hurt or putting any person in fear of death or hurt, and where the victim is under 14 years of age), the case would fall within Band 2 or even Band 3. However, the </w:t>
      </w:r>
      <w:r w:rsidR="00C47D5E">
        <w:rPr>
          <w:rFonts w:ascii="Times New Roman" w:hAnsi="Times New Roman" w:cs="Times New Roman"/>
          <w:sz w:val="24"/>
          <w:szCs w:val="24"/>
        </w:rPr>
        <w:t xml:space="preserve">CA in </w:t>
      </w:r>
      <w:r w:rsidR="00F35CCF" w:rsidRPr="005F60B5">
        <w:rPr>
          <w:rFonts w:ascii="Times New Roman" w:hAnsi="Times New Roman" w:cs="Times New Roman"/>
          <w:i/>
          <w:sz w:val="24"/>
          <w:szCs w:val="24"/>
        </w:rPr>
        <w:t xml:space="preserve">Pram Nair </w:t>
      </w:r>
      <w:r w:rsidR="00F35CCF" w:rsidRPr="005F60B5">
        <w:rPr>
          <w:rFonts w:ascii="Times New Roman" w:hAnsi="Times New Roman" w:cs="Times New Roman"/>
          <w:sz w:val="24"/>
          <w:szCs w:val="24"/>
        </w:rPr>
        <w:t xml:space="preserve">expressly declined to decide whether the three revised bands </w:t>
      </w:r>
      <w:r w:rsidR="00C47D5E">
        <w:rPr>
          <w:rFonts w:ascii="Times New Roman" w:hAnsi="Times New Roman" w:cs="Times New Roman"/>
          <w:sz w:val="24"/>
          <w:szCs w:val="24"/>
        </w:rPr>
        <w:t>apply</w:t>
      </w:r>
      <w:r w:rsidR="00F35CCF" w:rsidRPr="005F60B5">
        <w:rPr>
          <w:rFonts w:ascii="Times New Roman" w:hAnsi="Times New Roman" w:cs="Times New Roman"/>
          <w:sz w:val="24"/>
          <w:szCs w:val="24"/>
        </w:rPr>
        <w:t xml:space="preserve"> </w:t>
      </w:r>
      <w:r w:rsidR="000D3416">
        <w:rPr>
          <w:rFonts w:ascii="Times New Roman" w:hAnsi="Times New Roman" w:cs="Times New Roman"/>
          <w:sz w:val="24"/>
          <w:szCs w:val="24"/>
        </w:rPr>
        <w:t xml:space="preserve">in situations </w:t>
      </w:r>
      <w:r w:rsidR="00F35CCF" w:rsidRPr="005F60B5">
        <w:rPr>
          <w:rFonts w:ascii="Times New Roman" w:hAnsi="Times New Roman" w:cs="Times New Roman"/>
          <w:sz w:val="24"/>
          <w:szCs w:val="24"/>
        </w:rPr>
        <w:t>where the vaginal penetration was done with something other than the finger.</w:t>
      </w:r>
    </w:p>
    <w:p w14:paraId="6939D932"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6B4E2F66" w14:textId="77777777" w:rsidR="006266BD" w:rsidRPr="0085497E" w:rsidRDefault="00F35CCF" w:rsidP="00AB16D7">
      <w:pPr>
        <w:pStyle w:val="Standard"/>
        <w:spacing w:line="240" w:lineRule="auto"/>
        <w:jc w:val="both"/>
        <w:rPr>
          <w:rFonts w:ascii="Times New Roman" w:hAnsi="Times New Roman" w:cs="Times New Roman"/>
          <w:sz w:val="24"/>
          <w:szCs w:val="24"/>
          <w:u w:val="single"/>
        </w:rPr>
      </w:pPr>
      <w:r w:rsidRPr="0085497E">
        <w:rPr>
          <w:rFonts w:ascii="Times New Roman" w:hAnsi="Times New Roman" w:cs="Times New Roman"/>
          <w:sz w:val="24"/>
          <w:szCs w:val="24"/>
          <w:u w:val="single"/>
        </w:rPr>
        <w:t xml:space="preserve">(ii) </w:t>
      </w:r>
      <w:r w:rsidRPr="0085497E">
        <w:rPr>
          <w:rFonts w:ascii="Times New Roman" w:hAnsi="Times New Roman" w:cs="Times New Roman"/>
          <w:i/>
          <w:iCs/>
          <w:sz w:val="24"/>
          <w:szCs w:val="24"/>
          <w:u w:val="single"/>
        </w:rPr>
        <w:t>Pram Nair</w:t>
      </w:r>
      <w:r w:rsidRPr="0085497E">
        <w:rPr>
          <w:rFonts w:ascii="Times New Roman" w:hAnsi="Times New Roman" w:cs="Times New Roman"/>
          <w:sz w:val="24"/>
          <w:szCs w:val="24"/>
          <w:u w:val="single"/>
        </w:rPr>
        <w:t xml:space="preserve"> &amp; Hierarchy</w:t>
      </w:r>
    </w:p>
    <w:p w14:paraId="0F3FAADA" w14:textId="77AADF32"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The CA found </w:t>
      </w:r>
      <w:r w:rsidR="00C47D5E">
        <w:rPr>
          <w:rFonts w:ascii="Times New Roman" w:hAnsi="Times New Roman" w:cs="Times New Roman"/>
          <w:sz w:val="24"/>
          <w:szCs w:val="24"/>
        </w:rPr>
        <w:t>the present case</w:t>
      </w:r>
      <w:r w:rsidR="0001294D">
        <w:rPr>
          <w:rFonts w:ascii="Times New Roman" w:hAnsi="Times New Roman" w:cs="Times New Roman"/>
          <w:sz w:val="24"/>
          <w:szCs w:val="24"/>
        </w:rPr>
        <w:t>s</w:t>
      </w:r>
      <w:r w:rsidR="00C47D5E">
        <w:rPr>
          <w:rFonts w:ascii="Times New Roman" w:hAnsi="Times New Roman" w:cs="Times New Roman"/>
          <w:sz w:val="24"/>
          <w:szCs w:val="24"/>
        </w:rPr>
        <w:t xml:space="preserve"> to be an </w:t>
      </w:r>
      <w:r w:rsidRPr="005F60B5">
        <w:rPr>
          <w:rFonts w:ascii="Times New Roman" w:hAnsi="Times New Roman" w:cs="Times New Roman"/>
          <w:sz w:val="24"/>
          <w:szCs w:val="24"/>
        </w:rPr>
        <w:t xml:space="preserve">appropriate occasion to decide the unanswered question in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In considering this question, the CA noted that </w:t>
      </w:r>
      <w:r w:rsidR="00330B7D">
        <w:rPr>
          <w:rFonts w:ascii="Times New Roman" w:hAnsi="Times New Roman" w:cs="Times New Roman"/>
          <w:sz w:val="24"/>
          <w:szCs w:val="24"/>
        </w:rPr>
        <w:t xml:space="preserve">prior </w:t>
      </w:r>
      <w:r w:rsidRPr="005F60B5">
        <w:rPr>
          <w:rFonts w:ascii="Times New Roman" w:hAnsi="Times New Roman" w:cs="Times New Roman"/>
          <w:sz w:val="24"/>
          <w:szCs w:val="24"/>
        </w:rPr>
        <w:t xml:space="preserve">cases had taken two main opposing approaches. The </w:t>
      </w:r>
      <w:r w:rsidRPr="005F60B5">
        <w:rPr>
          <w:rFonts w:ascii="Times New Roman" w:hAnsi="Times New Roman" w:cs="Times New Roman"/>
          <w:i/>
          <w:sz w:val="24"/>
          <w:szCs w:val="24"/>
        </w:rPr>
        <w:t>first</w:t>
      </w:r>
      <w:r w:rsidRPr="005F60B5">
        <w:rPr>
          <w:rFonts w:ascii="Times New Roman" w:hAnsi="Times New Roman" w:cs="Times New Roman"/>
          <w:sz w:val="24"/>
          <w:szCs w:val="24"/>
        </w:rPr>
        <w:t xml:space="preserve"> approach was that the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sentencing framework should be applied without distinction to the various forms of sexual penetration set out in section 376. The </w:t>
      </w:r>
      <w:r w:rsidRPr="005F60B5">
        <w:rPr>
          <w:rFonts w:ascii="Times New Roman" w:hAnsi="Times New Roman" w:cs="Times New Roman"/>
          <w:i/>
          <w:sz w:val="24"/>
          <w:szCs w:val="24"/>
        </w:rPr>
        <w:t>second</w:t>
      </w:r>
      <w:r w:rsidRPr="005F60B5">
        <w:rPr>
          <w:rFonts w:ascii="Times New Roman" w:hAnsi="Times New Roman" w:cs="Times New Roman"/>
          <w:sz w:val="24"/>
          <w:szCs w:val="24"/>
        </w:rPr>
        <w:t xml:space="preserve"> approach was that section 376 created a hierarchy of offences. For instance, one </w:t>
      </w:r>
      <w:r w:rsidRPr="00C32FB2">
        <w:rPr>
          <w:rFonts w:ascii="Times New Roman" w:hAnsi="Times New Roman" w:cs="Times New Roman"/>
          <w:sz w:val="24"/>
          <w:szCs w:val="24"/>
        </w:rPr>
        <w:t>court</w:t>
      </w:r>
      <w:r w:rsidRPr="005F60B5">
        <w:rPr>
          <w:rFonts w:ascii="Times New Roman" w:hAnsi="Times New Roman" w:cs="Times New Roman"/>
          <w:sz w:val="24"/>
          <w:szCs w:val="24"/>
        </w:rPr>
        <w:t xml:space="preserve"> following the second approach drew up a hierarchy of the different types of sexual penetration </w:t>
      </w:r>
      <w:r w:rsidRPr="005F60B5">
        <w:rPr>
          <w:rFonts w:ascii="Times New Roman" w:eastAsia="Times New Roman" w:hAnsi="Times New Roman" w:cs="Times New Roman"/>
          <w:sz w:val="24"/>
          <w:szCs w:val="24"/>
        </w:rPr>
        <w:t>offences</w:t>
      </w:r>
      <w:r w:rsidRPr="005F60B5">
        <w:rPr>
          <w:rFonts w:ascii="Times New Roman" w:hAnsi="Times New Roman" w:cs="Times New Roman"/>
          <w:sz w:val="24"/>
          <w:szCs w:val="24"/>
        </w:rPr>
        <w:t xml:space="preserve">, placing </w:t>
      </w:r>
      <w:r w:rsidRPr="005F60B5">
        <w:rPr>
          <w:rFonts w:ascii="Times New Roman" w:hAnsi="Times New Roman" w:cs="Times New Roman"/>
          <w:sz w:val="24"/>
          <w:szCs w:val="24"/>
        </w:rPr>
        <w:lastRenderedPageBreak/>
        <w:t>fellatio and penile-anal penetration on the same level, and digital-anal penetration at the lowest level. This was also reflected in the sentences imposed, with a lower sentence for the digital-anal penetration offences.</w:t>
      </w:r>
    </w:p>
    <w:p w14:paraId="188A331B"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08D75859" w14:textId="057BC40B" w:rsidR="006266BD" w:rsidRPr="005F60B5" w:rsidRDefault="00135B8D" w:rsidP="00AB16D7">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However, t</w:t>
      </w:r>
      <w:r w:rsidR="00F35CCF" w:rsidRPr="005F60B5">
        <w:rPr>
          <w:rFonts w:ascii="Times New Roman" w:hAnsi="Times New Roman" w:cs="Times New Roman"/>
          <w:sz w:val="24"/>
          <w:szCs w:val="24"/>
        </w:rPr>
        <w:t xml:space="preserve">he CA agreed with the </w:t>
      </w:r>
      <w:r w:rsidR="00F35CCF" w:rsidRPr="005F60B5">
        <w:rPr>
          <w:rFonts w:ascii="Times New Roman" w:hAnsi="Times New Roman" w:cs="Times New Roman"/>
          <w:i/>
          <w:sz w:val="24"/>
          <w:szCs w:val="24"/>
        </w:rPr>
        <w:t>first</w:t>
      </w:r>
      <w:r w:rsidR="00F35CCF" w:rsidRPr="005F60B5">
        <w:rPr>
          <w:rFonts w:ascii="Times New Roman" w:hAnsi="Times New Roman" w:cs="Times New Roman"/>
          <w:sz w:val="24"/>
          <w:szCs w:val="24"/>
        </w:rPr>
        <w:t xml:space="preserve"> approach</w:t>
      </w:r>
      <w:r w:rsidR="00C47D5E">
        <w:rPr>
          <w:rFonts w:ascii="Times New Roman" w:hAnsi="Times New Roman" w:cs="Times New Roman"/>
          <w:sz w:val="24"/>
          <w:szCs w:val="24"/>
        </w:rPr>
        <w:t>:</w:t>
      </w:r>
      <w:r w:rsidR="0001294D">
        <w:rPr>
          <w:rFonts w:ascii="Times New Roman" w:hAnsi="Times New Roman" w:cs="Times New Roman"/>
          <w:sz w:val="24"/>
          <w:szCs w:val="24"/>
        </w:rPr>
        <w:t xml:space="preserve"> </w:t>
      </w:r>
      <w:proofErr w:type="spellStart"/>
      <w:r w:rsidR="0001294D" w:rsidRPr="00D1692D">
        <w:rPr>
          <w:rFonts w:ascii="Times New Roman" w:hAnsi="Times New Roman" w:cs="Times New Roman"/>
          <w:i/>
          <w:iCs/>
          <w:sz w:val="24"/>
          <w:szCs w:val="24"/>
        </w:rPr>
        <w:t>ie</w:t>
      </w:r>
      <w:proofErr w:type="spellEnd"/>
      <w:r w:rsidR="0001294D">
        <w:rPr>
          <w:rFonts w:ascii="Times New Roman" w:hAnsi="Times New Roman" w:cs="Times New Roman"/>
          <w:sz w:val="24"/>
          <w:szCs w:val="24"/>
        </w:rPr>
        <w:t xml:space="preserve">, </w:t>
      </w:r>
      <w:r w:rsidR="00F35CCF" w:rsidRPr="005F60B5">
        <w:rPr>
          <w:rFonts w:ascii="Times New Roman" w:hAnsi="Times New Roman" w:cs="Times New Roman"/>
          <w:sz w:val="24"/>
          <w:szCs w:val="24"/>
        </w:rPr>
        <w:t xml:space="preserve">the sentencing framework set out in </w:t>
      </w:r>
      <w:r w:rsidR="00F35CCF" w:rsidRPr="005F60B5">
        <w:rPr>
          <w:rFonts w:ascii="Times New Roman" w:hAnsi="Times New Roman" w:cs="Times New Roman"/>
          <w:i/>
          <w:sz w:val="24"/>
          <w:szCs w:val="24"/>
        </w:rPr>
        <w:t xml:space="preserve">Pram Nair </w:t>
      </w:r>
      <w:r w:rsidR="00F35CCF" w:rsidRPr="005F60B5">
        <w:rPr>
          <w:rFonts w:ascii="Times New Roman" w:hAnsi="Times New Roman" w:cs="Times New Roman"/>
          <w:sz w:val="24"/>
          <w:szCs w:val="24"/>
        </w:rPr>
        <w:t>was applicable to all forms of sexual assault by penetration under section 376</w:t>
      </w:r>
      <w:r w:rsidR="00C47D5E">
        <w:rPr>
          <w:rFonts w:ascii="Times New Roman" w:hAnsi="Times New Roman" w:cs="Times New Roman"/>
          <w:sz w:val="24"/>
          <w:szCs w:val="24"/>
        </w:rPr>
        <w:t xml:space="preserve"> of the PC</w:t>
      </w:r>
      <w:r w:rsidR="00F35CCF" w:rsidRPr="005F60B5">
        <w:rPr>
          <w:rFonts w:ascii="Times New Roman" w:hAnsi="Times New Roman" w:cs="Times New Roman"/>
          <w:sz w:val="24"/>
          <w:szCs w:val="24"/>
        </w:rPr>
        <w:t xml:space="preserve">. </w:t>
      </w:r>
      <w:r w:rsidR="00C47D5E">
        <w:rPr>
          <w:rFonts w:ascii="Times New Roman" w:hAnsi="Times New Roman" w:cs="Times New Roman"/>
          <w:sz w:val="24"/>
          <w:szCs w:val="24"/>
        </w:rPr>
        <w:t xml:space="preserve">This was </w:t>
      </w:r>
      <w:r w:rsidR="0001294D">
        <w:rPr>
          <w:rFonts w:ascii="Times New Roman" w:hAnsi="Times New Roman" w:cs="Times New Roman"/>
          <w:sz w:val="24"/>
          <w:szCs w:val="24"/>
        </w:rPr>
        <w:t xml:space="preserve">based on </w:t>
      </w:r>
      <w:r w:rsidR="00C47D5E">
        <w:rPr>
          <w:rFonts w:ascii="Times New Roman" w:hAnsi="Times New Roman" w:cs="Times New Roman"/>
          <w:sz w:val="24"/>
          <w:szCs w:val="24"/>
        </w:rPr>
        <w:t xml:space="preserve">the following reasons. </w:t>
      </w:r>
    </w:p>
    <w:p w14:paraId="4864F106"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637F50D7" w14:textId="6423969E"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i/>
          <w:sz w:val="24"/>
          <w:szCs w:val="24"/>
        </w:rPr>
        <w:t>First</w:t>
      </w:r>
      <w:r w:rsidRPr="005F60B5">
        <w:rPr>
          <w:rFonts w:ascii="Times New Roman" w:hAnsi="Times New Roman" w:cs="Times New Roman"/>
          <w:sz w:val="24"/>
          <w:szCs w:val="24"/>
        </w:rPr>
        <w:t xml:space="preserve">, there were a multitude of permutations for the offence of sexual penetration under section 376, which would make benchmark sentences for each permutation impractical. The CA listed </w:t>
      </w:r>
      <w:r w:rsidR="000D4DF1">
        <w:rPr>
          <w:rFonts w:ascii="Times New Roman" w:hAnsi="Times New Roman" w:cs="Times New Roman"/>
          <w:sz w:val="24"/>
          <w:szCs w:val="24"/>
        </w:rPr>
        <w:t>four</w:t>
      </w:r>
      <w:r w:rsidR="000D4DF1" w:rsidRPr="005F60B5">
        <w:rPr>
          <w:rFonts w:ascii="Times New Roman" w:hAnsi="Times New Roman" w:cs="Times New Roman"/>
          <w:sz w:val="24"/>
          <w:szCs w:val="24"/>
        </w:rPr>
        <w:t xml:space="preserve"> </w:t>
      </w:r>
      <w:r w:rsidRPr="005F60B5">
        <w:rPr>
          <w:rFonts w:ascii="Times New Roman" w:hAnsi="Times New Roman" w:cs="Times New Roman"/>
          <w:sz w:val="24"/>
          <w:szCs w:val="24"/>
        </w:rPr>
        <w:t xml:space="preserve">possible permutations under section 376(1), and 19 further possible permutations under section 376(2). To draw up a hierarchy of severity for the myriad permutations of the sexual assault by penetration offence in section 376 could entail fine distinctions having to be made regarding the penetrator, the one being penetrated, the orifice in question and the body party or object used for penetration. </w:t>
      </w:r>
    </w:p>
    <w:p w14:paraId="264D23E5"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7866CF38" w14:textId="5DF287DF"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eastAsia="Times New Roman" w:hAnsi="Times New Roman" w:cs="Times New Roman"/>
          <w:i/>
          <w:sz w:val="24"/>
          <w:szCs w:val="24"/>
        </w:rPr>
        <w:t>Second</w:t>
      </w:r>
      <w:r w:rsidRPr="005F60B5">
        <w:rPr>
          <w:rFonts w:ascii="Times New Roman" w:hAnsi="Times New Roman" w:cs="Times New Roman"/>
          <w:sz w:val="24"/>
          <w:szCs w:val="24"/>
        </w:rPr>
        <w:t xml:space="preserve">, the actual language of section 376 did not indicate that the permutations of sexual assault by penetration were to be ranked in terms of severity. The offences in the provision merely described the types of acts that </w:t>
      </w:r>
      <w:r w:rsidR="004C07EF">
        <w:rPr>
          <w:rFonts w:ascii="Times New Roman" w:hAnsi="Times New Roman" w:cs="Times New Roman"/>
          <w:sz w:val="24"/>
          <w:szCs w:val="24"/>
        </w:rPr>
        <w:t>were</w:t>
      </w:r>
      <w:r w:rsidR="004C07EF" w:rsidRPr="005F60B5">
        <w:rPr>
          <w:rFonts w:ascii="Times New Roman" w:hAnsi="Times New Roman" w:cs="Times New Roman"/>
          <w:sz w:val="24"/>
          <w:szCs w:val="24"/>
        </w:rPr>
        <w:t xml:space="preserve"> </w:t>
      </w:r>
      <w:proofErr w:type="spellStart"/>
      <w:r w:rsidRPr="005F60B5">
        <w:rPr>
          <w:rFonts w:ascii="Times New Roman" w:hAnsi="Times New Roman" w:cs="Times New Roman"/>
          <w:sz w:val="24"/>
          <w:szCs w:val="24"/>
        </w:rPr>
        <w:t>criminalised</w:t>
      </w:r>
      <w:proofErr w:type="spellEnd"/>
      <w:r w:rsidRPr="005F60B5">
        <w:rPr>
          <w:rFonts w:ascii="Times New Roman" w:hAnsi="Times New Roman" w:cs="Times New Roman"/>
          <w:sz w:val="24"/>
          <w:szCs w:val="24"/>
        </w:rPr>
        <w:t>, without stating that any one of them was a more or a less serious offence.</w:t>
      </w:r>
    </w:p>
    <w:p w14:paraId="1B289F0B"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006A1AAE" w14:textId="0F320E96" w:rsidR="006266BD" w:rsidRDefault="00F35CCF" w:rsidP="00AB16D7">
      <w:pPr>
        <w:pStyle w:val="Standard"/>
        <w:spacing w:line="240" w:lineRule="auto"/>
        <w:jc w:val="both"/>
        <w:rPr>
          <w:rFonts w:ascii="Times New Roman" w:hAnsi="Times New Roman" w:cs="Times New Roman"/>
          <w:sz w:val="24"/>
          <w:szCs w:val="24"/>
        </w:rPr>
      </w:pPr>
      <w:r w:rsidRPr="005F60B5">
        <w:rPr>
          <w:rFonts w:ascii="Times New Roman" w:eastAsia="Times New Roman" w:hAnsi="Times New Roman" w:cs="Times New Roman"/>
          <w:i/>
          <w:sz w:val="24"/>
          <w:szCs w:val="24"/>
        </w:rPr>
        <w:t>Third</w:t>
      </w:r>
      <w:r w:rsidRPr="00C32FB2">
        <w:rPr>
          <w:rFonts w:ascii="Times New Roman" w:hAnsi="Times New Roman" w:cs="Times New Roman"/>
          <w:i/>
          <w:sz w:val="24"/>
          <w:szCs w:val="24"/>
        </w:rPr>
        <w:t>,</w:t>
      </w:r>
      <w:r w:rsidRPr="005F60B5">
        <w:rPr>
          <w:rFonts w:ascii="Times New Roman" w:hAnsi="Times New Roman" w:cs="Times New Roman"/>
          <w:sz w:val="24"/>
          <w:szCs w:val="24"/>
        </w:rPr>
        <w:t xml:space="preserve"> there appeared to be no unanimity of views as to whether one form of sexual penetration was inherently more serious or more detestable than another. </w:t>
      </w:r>
      <w:r w:rsidR="00B62105">
        <w:rPr>
          <w:rFonts w:ascii="Times New Roman" w:hAnsi="Times New Roman" w:cs="Times New Roman"/>
          <w:sz w:val="24"/>
          <w:szCs w:val="24"/>
        </w:rPr>
        <w:t>I</w:t>
      </w:r>
      <w:r w:rsidRPr="005F60B5">
        <w:rPr>
          <w:rFonts w:ascii="Times New Roman" w:hAnsi="Times New Roman" w:cs="Times New Roman"/>
          <w:sz w:val="24"/>
          <w:szCs w:val="24"/>
        </w:rPr>
        <w:t>t was commonly agreed that rape was the worst of the sexual penetration offences</w:t>
      </w:r>
      <w:r w:rsidR="00B62105">
        <w:rPr>
          <w:rFonts w:ascii="Times New Roman" w:hAnsi="Times New Roman" w:cs="Times New Roman"/>
          <w:sz w:val="24"/>
          <w:szCs w:val="24"/>
        </w:rPr>
        <w:t>. However,</w:t>
      </w:r>
      <w:r w:rsidRPr="005F60B5">
        <w:rPr>
          <w:rFonts w:ascii="Times New Roman" w:hAnsi="Times New Roman" w:cs="Times New Roman"/>
          <w:sz w:val="24"/>
          <w:szCs w:val="24"/>
        </w:rPr>
        <w:t xml:space="preserve"> where sexual penetration other than rape </w:t>
      </w:r>
      <w:r w:rsidR="00866C2B">
        <w:rPr>
          <w:rFonts w:ascii="Times New Roman" w:hAnsi="Times New Roman" w:cs="Times New Roman"/>
          <w:sz w:val="24"/>
          <w:szCs w:val="24"/>
        </w:rPr>
        <w:t>was</w:t>
      </w:r>
      <w:r w:rsidR="00866C2B" w:rsidRPr="005F60B5">
        <w:rPr>
          <w:rFonts w:ascii="Times New Roman" w:hAnsi="Times New Roman" w:cs="Times New Roman"/>
          <w:sz w:val="24"/>
          <w:szCs w:val="24"/>
        </w:rPr>
        <w:t xml:space="preserve"> </w:t>
      </w:r>
      <w:r w:rsidRPr="005F60B5">
        <w:rPr>
          <w:rFonts w:ascii="Times New Roman" w:hAnsi="Times New Roman" w:cs="Times New Roman"/>
          <w:sz w:val="24"/>
          <w:szCs w:val="24"/>
        </w:rPr>
        <w:t>concerned, it was hard or even impossible to differentiate among the various permutations discussed, even on the ground that some acts carried the risk of transmission of disease. For instance, some people could be as appalled by forced penile-anal intercourse as by an object being thrust into the vagina. The “disgust factor” was too subjective and personal for there to be meaningful and commonly accepted distinctions among the various permutations of the offence under section 376. Moreover, some permutations of the offence might not even be for sexual gratification, but could be motivated by a thirst for sadistic humiliation and pain.</w:t>
      </w:r>
    </w:p>
    <w:p w14:paraId="0E66447F" w14:textId="77777777" w:rsidR="00FB2A22" w:rsidRPr="005F60B5" w:rsidRDefault="00FB2A22" w:rsidP="00AB16D7">
      <w:pPr>
        <w:pStyle w:val="Standard"/>
        <w:spacing w:line="240" w:lineRule="auto"/>
        <w:jc w:val="both"/>
        <w:rPr>
          <w:rFonts w:ascii="Times New Roman" w:hAnsi="Times New Roman" w:cs="Times New Roman"/>
          <w:sz w:val="24"/>
          <w:szCs w:val="24"/>
        </w:rPr>
      </w:pPr>
    </w:p>
    <w:p w14:paraId="44D74F81" w14:textId="5669B0D9"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Hence, the CA decided it would be more practical and sensible to weigh a range of factors in assessing the seriousness of a particular permutation of the offence. </w:t>
      </w:r>
      <w:r w:rsidR="00C47D5E">
        <w:rPr>
          <w:rFonts w:ascii="Times New Roman" w:hAnsi="Times New Roman" w:cs="Times New Roman"/>
          <w:sz w:val="24"/>
          <w:szCs w:val="24"/>
        </w:rPr>
        <w:t>These</w:t>
      </w:r>
      <w:r w:rsidR="00C47D5E" w:rsidRPr="005F60B5">
        <w:rPr>
          <w:rFonts w:ascii="Times New Roman" w:hAnsi="Times New Roman" w:cs="Times New Roman"/>
          <w:sz w:val="24"/>
          <w:szCs w:val="24"/>
        </w:rPr>
        <w:t xml:space="preserve"> </w:t>
      </w:r>
      <w:r w:rsidRPr="005F60B5">
        <w:rPr>
          <w:rFonts w:ascii="Times New Roman" w:hAnsi="Times New Roman" w:cs="Times New Roman"/>
          <w:sz w:val="24"/>
          <w:szCs w:val="24"/>
        </w:rPr>
        <w:t xml:space="preserve">would include the risk of sexually transmitted diseases and the degree of physical violation of the victim, which could be factored within the present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sentencing framework. The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framework (for digital-vaginal penetration) was adapted from the </w:t>
      </w:r>
      <w:r w:rsidRPr="005F60B5">
        <w:rPr>
          <w:rFonts w:ascii="Times New Roman" w:hAnsi="Times New Roman" w:cs="Times New Roman"/>
          <w:i/>
          <w:sz w:val="24"/>
          <w:szCs w:val="24"/>
        </w:rPr>
        <w:t>Terence Ng</w:t>
      </w:r>
      <w:r w:rsidRPr="005F60B5">
        <w:rPr>
          <w:rFonts w:ascii="Times New Roman" w:hAnsi="Times New Roman" w:cs="Times New Roman"/>
          <w:sz w:val="24"/>
          <w:szCs w:val="24"/>
        </w:rPr>
        <w:t xml:space="preserve"> framework (for rape), and many of the offence-specific aggravating factors listed in </w:t>
      </w:r>
      <w:r w:rsidRPr="005F60B5">
        <w:rPr>
          <w:rFonts w:ascii="Times New Roman" w:hAnsi="Times New Roman" w:cs="Times New Roman"/>
          <w:i/>
          <w:sz w:val="24"/>
          <w:szCs w:val="24"/>
        </w:rPr>
        <w:t xml:space="preserve">Terence Ng </w:t>
      </w:r>
      <w:r w:rsidRPr="005F60B5">
        <w:rPr>
          <w:rFonts w:ascii="Times New Roman" w:hAnsi="Times New Roman" w:cs="Times New Roman"/>
          <w:sz w:val="24"/>
          <w:szCs w:val="24"/>
        </w:rPr>
        <w:t>for rape were equally applicable to the offence of digital penetration, and now also other forms of sexual assault by penetration in section 376.</w:t>
      </w:r>
    </w:p>
    <w:p w14:paraId="1311D899"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2EAF30D0" w14:textId="445625D5"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The CA clarified that this decision did not detract from the distinction between rape and sexual assault by penetration under section 376. The </w:t>
      </w:r>
      <w:r w:rsidRPr="005F60B5">
        <w:rPr>
          <w:rFonts w:ascii="Times New Roman" w:hAnsi="Times New Roman" w:cs="Times New Roman"/>
          <w:i/>
          <w:sz w:val="24"/>
          <w:szCs w:val="24"/>
        </w:rPr>
        <w:t>Terence Ng</w:t>
      </w:r>
      <w:r w:rsidRPr="005F60B5">
        <w:rPr>
          <w:rFonts w:ascii="Times New Roman" w:hAnsi="Times New Roman" w:cs="Times New Roman"/>
          <w:sz w:val="24"/>
          <w:szCs w:val="24"/>
        </w:rPr>
        <w:t xml:space="preserve"> framework would continue to apply to rape, because the risk of an unwanted pregnancy was a factor unique to rape, and because rape had also been </w:t>
      </w:r>
      <w:proofErr w:type="spellStart"/>
      <w:r w:rsidRPr="005F60B5">
        <w:rPr>
          <w:rFonts w:ascii="Times New Roman" w:hAnsi="Times New Roman" w:cs="Times New Roman"/>
          <w:sz w:val="24"/>
          <w:szCs w:val="24"/>
        </w:rPr>
        <w:t>recognised</w:t>
      </w:r>
      <w:proofErr w:type="spellEnd"/>
      <w:r w:rsidRPr="005F60B5">
        <w:rPr>
          <w:rFonts w:ascii="Times New Roman" w:hAnsi="Times New Roman" w:cs="Times New Roman"/>
          <w:sz w:val="24"/>
          <w:szCs w:val="24"/>
        </w:rPr>
        <w:t xml:space="preserve"> as the gravest of sexual offences.</w:t>
      </w:r>
    </w:p>
    <w:p w14:paraId="11F05D21"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4D316BFE" w14:textId="77777777" w:rsidR="006266BD" w:rsidRPr="00F82522" w:rsidRDefault="00F35CCF" w:rsidP="00C32FB2">
      <w:pPr>
        <w:pStyle w:val="Standard"/>
        <w:numPr>
          <w:ilvl w:val="0"/>
          <w:numId w:val="14"/>
        </w:numPr>
        <w:spacing w:line="240" w:lineRule="auto"/>
        <w:jc w:val="both"/>
        <w:rPr>
          <w:rFonts w:ascii="Times New Roman" w:hAnsi="Times New Roman" w:cs="Times New Roman"/>
          <w:b/>
          <w:i/>
          <w:sz w:val="24"/>
          <w:szCs w:val="24"/>
        </w:rPr>
      </w:pPr>
      <w:r w:rsidRPr="00DD66BD">
        <w:rPr>
          <w:rFonts w:ascii="Times New Roman" w:hAnsi="Times New Roman" w:cs="Times New Roman"/>
          <w:b/>
          <w:i/>
          <w:sz w:val="24"/>
          <w:szCs w:val="24"/>
        </w:rPr>
        <w:t>Appropriateness of sentences</w:t>
      </w:r>
    </w:p>
    <w:p w14:paraId="7C08C12B" w14:textId="7FFCDD37"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After deciding that the </w:t>
      </w:r>
      <w:r w:rsidRPr="005F60B5">
        <w:rPr>
          <w:rFonts w:ascii="Times New Roman" w:hAnsi="Times New Roman" w:cs="Times New Roman"/>
          <w:i/>
          <w:sz w:val="24"/>
          <w:szCs w:val="24"/>
        </w:rPr>
        <w:t xml:space="preserve">Pram Nair </w:t>
      </w:r>
      <w:r w:rsidRPr="005F60B5">
        <w:rPr>
          <w:rFonts w:ascii="Times New Roman" w:hAnsi="Times New Roman" w:cs="Times New Roman"/>
          <w:sz w:val="24"/>
          <w:szCs w:val="24"/>
        </w:rPr>
        <w:t xml:space="preserve">framework applied to all forms of sexual penetration under section 376, the CA considered </w:t>
      </w:r>
      <w:r w:rsidR="00A262F7">
        <w:rPr>
          <w:rFonts w:ascii="Times New Roman" w:hAnsi="Times New Roman" w:cs="Times New Roman"/>
          <w:sz w:val="24"/>
          <w:szCs w:val="24"/>
        </w:rPr>
        <w:t xml:space="preserve">and upheld </w:t>
      </w:r>
      <w:r w:rsidRPr="005F60B5">
        <w:rPr>
          <w:rFonts w:ascii="Times New Roman" w:hAnsi="Times New Roman" w:cs="Times New Roman"/>
          <w:sz w:val="24"/>
          <w:szCs w:val="24"/>
        </w:rPr>
        <w:t xml:space="preserve">the sentences imposed in </w:t>
      </w:r>
      <w:r w:rsidRPr="005F60B5">
        <w:rPr>
          <w:rFonts w:ascii="Times New Roman" w:hAnsi="Times New Roman" w:cs="Times New Roman"/>
          <w:i/>
          <w:sz w:val="24"/>
          <w:szCs w:val="24"/>
        </w:rPr>
        <w:t xml:space="preserve">BPH </w:t>
      </w:r>
      <w:r w:rsidRPr="005F60B5">
        <w:rPr>
          <w:rFonts w:ascii="Times New Roman" w:hAnsi="Times New Roman" w:cs="Times New Roman"/>
          <w:sz w:val="24"/>
          <w:szCs w:val="24"/>
        </w:rPr>
        <w:t xml:space="preserve">and </w:t>
      </w:r>
      <w:r w:rsidRPr="005F60B5">
        <w:rPr>
          <w:rFonts w:ascii="Times New Roman" w:hAnsi="Times New Roman" w:cs="Times New Roman"/>
          <w:i/>
          <w:sz w:val="24"/>
          <w:szCs w:val="24"/>
        </w:rPr>
        <w:t>BVZ.</w:t>
      </w:r>
    </w:p>
    <w:p w14:paraId="76E77CEA"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29B0053C" w14:textId="77777777" w:rsidR="006266BD" w:rsidRPr="00031586" w:rsidRDefault="00F35CCF" w:rsidP="00AB16D7">
      <w:pPr>
        <w:pStyle w:val="Standard"/>
        <w:spacing w:line="240" w:lineRule="auto"/>
        <w:jc w:val="both"/>
        <w:rPr>
          <w:rFonts w:ascii="Times New Roman" w:hAnsi="Times New Roman" w:cs="Times New Roman"/>
          <w:iCs/>
          <w:sz w:val="24"/>
          <w:szCs w:val="24"/>
          <w:u w:val="single"/>
        </w:rPr>
      </w:pPr>
      <w:r w:rsidRPr="00031586">
        <w:rPr>
          <w:rFonts w:ascii="Times New Roman" w:hAnsi="Times New Roman" w:cs="Times New Roman"/>
          <w:iCs/>
          <w:sz w:val="24"/>
          <w:szCs w:val="24"/>
          <w:u w:val="single"/>
        </w:rPr>
        <w:t>(</w:t>
      </w:r>
      <w:proofErr w:type="spellStart"/>
      <w:r w:rsidRPr="00031586">
        <w:rPr>
          <w:rFonts w:ascii="Times New Roman" w:hAnsi="Times New Roman" w:cs="Times New Roman"/>
          <w:iCs/>
          <w:sz w:val="24"/>
          <w:szCs w:val="24"/>
          <w:u w:val="single"/>
        </w:rPr>
        <w:t>i</w:t>
      </w:r>
      <w:proofErr w:type="spellEnd"/>
      <w:r w:rsidRPr="00031586">
        <w:rPr>
          <w:rFonts w:ascii="Times New Roman" w:hAnsi="Times New Roman" w:cs="Times New Roman"/>
          <w:iCs/>
          <w:sz w:val="24"/>
          <w:szCs w:val="24"/>
          <w:u w:val="single"/>
        </w:rPr>
        <w:t xml:space="preserve">) </w:t>
      </w:r>
      <w:r w:rsidRPr="00031586">
        <w:rPr>
          <w:rFonts w:ascii="Times New Roman" w:hAnsi="Times New Roman" w:cs="Times New Roman"/>
          <w:i/>
          <w:sz w:val="24"/>
          <w:szCs w:val="24"/>
          <w:u w:val="single"/>
        </w:rPr>
        <w:t>BPH</w:t>
      </w:r>
    </w:p>
    <w:p w14:paraId="5F02DF92" w14:textId="205D2102" w:rsidR="00FB7FEC"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With regard to the sexual penetration charge, the CA agreed with the HC that there were at least two offence-specific factors: the abuse of trust by a grandfather, and the vulnerability of the young victim. </w:t>
      </w:r>
    </w:p>
    <w:p w14:paraId="3C231AAC" w14:textId="77777777" w:rsidR="00FB7FEC" w:rsidRDefault="00FB7FEC" w:rsidP="00AB16D7">
      <w:pPr>
        <w:pStyle w:val="Standard"/>
        <w:spacing w:line="240" w:lineRule="auto"/>
        <w:jc w:val="both"/>
        <w:rPr>
          <w:rFonts w:ascii="Times New Roman" w:hAnsi="Times New Roman" w:cs="Times New Roman"/>
          <w:sz w:val="24"/>
          <w:szCs w:val="24"/>
        </w:rPr>
      </w:pPr>
    </w:p>
    <w:p w14:paraId="27D426A9" w14:textId="16A3AD76"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Abuse of trust concerns cases where the offender is a position of responsibility towards the victim</w:t>
      </w:r>
      <w:r w:rsidR="00431682">
        <w:rPr>
          <w:rFonts w:ascii="Times New Roman" w:hAnsi="Times New Roman" w:cs="Times New Roman"/>
          <w:sz w:val="24"/>
          <w:szCs w:val="24"/>
        </w:rPr>
        <w:t>,</w:t>
      </w:r>
      <w:r w:rsidRPr="005F60B5">
        <w:rPr>
          <w:rFonts w:ascii="Times New Roman" w:hAnsi="Times New Roman" w:cs="Times New Roman"/>
          <w:sz w:val="24"/>
          <w:szCs w:val="24"/>
        </w:rPr>
        <w:t xml:space="preserve"> or where the offender is a person in whom the victim has placed trust. When an offender commits a serious sexual offence in such circumstances, he </w:t>
      </w:r>
      <w:r w:rsidR="00D272B6">
        <w:rPr>
          <w:rFonts w:ascii="Times New Roman" w:hAnsi="Times New Roman" w:cs="Times New Roman"/>
          <w:sz w:val="24"/>
          <w:szCs w:val="24"/>
        </w:rPr>
        <w:t>has</w:t>
      </w:r>
      <w:r w:rsidRPr="005F60B5">
        <w:rPr>
          <w:rFonts w:ascii="Times New Roman" w:hAnsi="Times New Roman" w:cs="Times New Roman"/>
          <w:sz w:val="24"/>
          <w:szCs w:val="24"/>
        </w:rPr>
        <w:t xml:space="preserve"> committed a serious crime, </w:t>
      </w:r>
      <w:r w:rsidR="00D272B6">
        <w:rPr>
          <w:rFonts w:ascii="Times New Roman" w:hAnsi="Times New Roman" w:cs="Times New Roman"/>
          <w:sz w:val="24"/>
          <w:szCs w:val="24"/>
        </w:rPr>
        <w:t>and</w:t>
      </w:r>
      <w:r w:rsidRPr="005F60B5">
        <w:rPr>
          <w:rFonts w:ascii="Times New Roman" w:hAnsi="Times New Roman" w:cs="Times New Roman"/>
          <w:sz w:val="24"/>
          <w:szCs w:val="24"/>
        </w:rPr>
        <w:t xml:space="preserve"> also violated the trust placed in him by society and by the victim. The focus is on the nature of the relationship between the offender and the victim, not the harm </w:t>
      </w:r>
      <w:r w:rsidR="00AA7AD6">
        <w:rPr>
          <w:rFonts w:ascii="Times New Roman" w:hAnsi="Times New Roman" w:cs="Times New Roman"/>
          <w:sz w:val="24"/>
          <w:szCs w:val="24"/>
        </w:rPr>
        <w:t>to</w:t>
      </w:r>
      <w:r w:rsidRPr="005F60B5">
        <w:rPr>
          <w:rFonts w:ascii="Times New Roman" w:hAnsi="Times New Roman" w:cs="Times New Roman"/>
          <w:sz w:val="24"/>
          <w:szCs w:val="24"/>
        </w:rPr>
        <w:t xml:space="preserve"> the victim.</w:t>
      </w:r>
      <w:r w:rsidR="00FB7FEC">
        <w:rPr>
          <w:rFonts w:ascii="Times New Roman" w:hAnsi="Times New Roman" w:cs="Times New Roman"/>
          <w:sz w:val="24"/>
          <w:szCs w:val="24"/>
        </w:rPr>
        <w:t xml:space="preserve"> </w:t>
      </w:r>
      <w:r w:rsidRPr="005F60B5">
        <w:rPr>
          <w:rFonts w:ascii="Times New Roman" w:hAnsi="Times New Roman" w:cs="Times New Roman"/>
          <w:sz w:val="24"/>
          <w:szCs w:val="24"/>
        </w:rPr>
        <w:t xml:space="preserve">The recognition of an abuse of trust as an aggravating factor </w:t>
      </w:r>
      <w:r w:rsidR="003E6A0C">
        <w:rPr>
          <w:rFonts w:ascii="Times New Roman" w:hAnsi="Times New Roman" w:cs="Times New Roman"/>
          <w:sz w:val="24"/>
          <w:szCs w:val="24"/>
        </w:rPr>
        <w:t>wa</w:t>
      </w:r>
      <w:r w:rsidRPr="005F60B5">
        <w:rPr>
          <w:rFonts w:ascii="Times New Roman" w:hAnsi="Times New Roman" w:cs="Times New Roman"/>
          <w:sz w:val="24"/>
          <w:szCs w:val="24"/>
        </w:rPr>
        <w:t xml:space="preserve">s a reflection of the position that </w:t>
      </w:r>
      <w:r w:rsidR="003E6A0C">
        <w:rPr>
          <w:rFonts w:ascii="Times New Roman" w:hAnsi="Times New Roman" w:cs="Times New Roman"/>
          <w:sz w:val="24"/>
          <w:szCs w:val="24"/>
        </w:rPr>
        <w:t>was</w:t>
      </w:r>
      <w:r w:rsidR="003E6A0C" w:rsidRPr="005F60B5">
        <w:rPr>
          <w:rFonts w:ascii="Times New Roman" w:hAnsi="Times New Roman" w:cs="Times New Roman"/>
          <w:sz w:val="24"/>
          <w:szCs w:val="24"/>
        </w:rPr>
        <w:t xml:space="preserve"> </w:t>
      </w:r>
      <w:r w:rsidRPr="005F60B5">
        <w:rPr>
          <w:rFonts w:ascii="Times New Roman" w:hAnsi="Times New Roman" w:cs="Times New Roman"/>
          <w:sz w:val="24"/>
          <w:szCs w:val="24"/>
        </w:rPr>
        <w:t xml:space="preserve">occupied by the members of a family. Here, BPH </w:t>
      </w:r>
      <w:r w:rsidR="00484EEA">
        <w:rPr>
          <w:rFonts w:ascii="Times New Roman" w:hAnsi="Times New Roman" w:cs="Times New Roman"/>
          <w:sz w:val="24"/>
          <w:szCs w:val="24"/>
        </w:rPr>
        <w:t>was</w:t>
      </w:r>
      <w:r w:rsidR="00484EEA" w:rsidRPr="005F60B5">
        <w:rPr>
          <w:rFonts w:ascii="Times New Roman" w:hAnsi="Times New Roman" w:cs="Times New Roman"/>
          <w:sz w:val="24"/>
          <w:szCs w:val="24"/>
        </w:rPr>
        <w:t xml:space="preserve"> </w:t>
      </w:r>
      <w:r w:rsidRPr="005F60B5">
        <w:rPr>
          <w:rFonts w:ascii="Times New Roman" w:hAnsi="Times New Roman" w:cs="Times New Roman"/>
          <w:sz w:val="24"/>
          <w:szCs w:val="24"/>
        </w:rPr>
        <w:t xml:space="preserve">VB’s maternal grandfather. </w:t>
      </w:r>
      <w:r w:rsidR="00C47D5E">
        <w:rPr>
          <w:rFonts w:ascii="Times New Roman" w:hAnsi="Times New Roman" w:cs="Times New Roman"/>
          <w:sz w:val="24"/>
          <w:szCs w:val="24"/>
        </w:rPr>
        <w:t>As</w:t>
      </w:r>
      <w:r w:rsidRPr="005F60B5">
        <w:rPr>
          <w:rFonts w:ascii="Times New Roman" w:hAnsi="Times New Roman" w:cs="Times New Roman"/>
          <w:sz w:val="24"/>
          <w:szCs w:val="24"/>
        </w:rPr>
        <w:t xml:space="preserve"> in most other cases of abuse of trust, BPH’s position of authority and trust in relation to VB afforded him the opportunity to offend more than once. </w:t>
      </w:r>
    </w:p>
    <w:p w14:paraId="10DBFBE9"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625BDD4E" w14:textId="37F62E93"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With regard to the </w:t>
      </w:r>
      <w:r w:rsidR="003A7635">
        <w:rPr>
          <w:rFonts w:ascii="Times New Roman" w:hAnsi="Times New Roman" w:cs="Times New Roman"/>
          <w:sz w:val="24"/>
          <w:szCs w:val="24"/>
        </w:rPr>
        <w:t xml:space="preserve">victim’s </w:t>
      </w:r>
      <w:r w:rsidRPr="005F60B5">
        <w:rPr>
          <w:rFonts w:ascii="Times New Roman" w:hAnsi="Times New Roman" w:cs="Times New Roman"/>
          <w:sz w:val="24"/>
          <w:szCs w:val="24"/>
        </w:rPr>
        <w:t xml:space="preserve">vulnerability, a victim could be vulnerable because of age, physical frailty, mental impairment or disorder or learning disability. </w:t>
      </w:r>
      <w:r w:rsidR="00C47D5E">
        <w:rPr>
          <w:rFonts w:ascii="Times New Roman" w:hAnsi="Times New Roman" w:cs="Times New Roman"/>
          <w:sz w:val="24"/>
          <w:szCs w:val="24"/>
        </w:rPr>
        <w:t xml:space="preserve">In this case, </w:t>
      </w:r>
      <w:r w:rsidRPr="005F60B5">
        <w:rPr>
          <w:rFonts w:ascii="Times New Roman" w:hAnsi="Times New Roman" w:cs="Times New Roman"/>
          <w:sz w:val="24"/>
          <w:szCs w:val="24"/>
        </w:rPr>
        <w:t xml:space="preserve">VB was especially vulnerable given his age at the time of the offences. Indeed, his young age was a statutory aggravating factor. Thus this case at least fell in the middle of Band 2 in the </w:t>
      </w:r>
      <w:r w:rsidRPr="005F60B5">
        <w:rPr>
          <w:rFonts w:ascii="Times New Roman" w:hAnsi="Times New Roman" w:cs="Times New Roman"/>
          <w:i/>
          <w:sz w:val="24"/>
          <w:szCs w:val="24"/>
        </w:rPr>
        <w:t xml:space="preserve">Pram Nair </w:t>
      </w:r>
      <w:r w:rsidRPr="005F60B5">
        <w:rPr>
          <w:rFonts w:ascii="Times New Roman" w:hAnsi="Times New Roman" w:cs="Times New Roman"/>
          <w:sz w:val="24"/>
          <w:szCs w:val="24"/>
        </w:rPr>
        <w:t>framework.</w:t>
      </w:r>
    </w:p>
    <w:p w14:paraId="47292114" w14:textId="3DE3B9FC" w:rsidR="006266BD" w:rsidRPr="005F60B5" w:rsidRDefault="006266BD" w:rsidP="00AB16D7">
      <w:pPr>
        <w:pStyle w:val="Standard"/>
        <w:spacing w:line="240" w:lineRule="auto"/>
        <w:jc w:val="both"/>
        <w:rPr>
          <w:rFonts w:ascii="Times New Roman" w:hAnsi="Times New Roman" w:cs="Times New Roman"/>
          <w:sz w:val="24"/>
          <w:szCs w:val="24"/>
        </w:rPr>
      </w:pPr>
    </w:p>
    <w:p w14:paraId="0FE6D595" w14:textId="63FAEE41" w:rsidR="006266BD" w:rsidRPr="005F60B5" w:rsidRDefault="00C47D5E" w:rsidP="00AB16D7">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Overall</w:t>
      </w:r>
      <w:r w:rsidR="00F35CCF" w:rsidRPr="005F60B5">
        <w:rPr>
          <w:rFonts w:ascii="Times New Roman" w:hAnsi="Times New Roman" w:cs="Times New Roman"/>
          <w:sz w:val="24"/>
          <w:szCs w:val="24"/>
        </w:rPr>
        <w:t>, the CA held that the aggregate sentence imposed was in fact lenient towards BPH. With regard to the first charge, BPH would have received a minimum of eight years’ imprisonment and 12 strokes of the cane, because VB was under 14 years of age at the relevant times. Indeed, BPH was sentenced to</w:t>
      </w:r>
      <w:r w:rsidR="003D2ECA" w:rsidRPr="005F60B5">
        <w:rPr>
          <w:rFonts w:ascii="Times New Roman" w:eastAsia="Times New Roman" w:hAnsi="Times New Roman" w:cs="Times New Roman"/>
          <w:sz w:val="24"/>
          <w:szCs w:val="24"/>
        </w:rPr>
        <w:t xml:space="preserve"> only</w:t>
      </w:r>
      <w:r w:rsidR="00F35CCF" w:rsidRPr="005F60B5">
        <w:rPr>
          <w:rFonts w:ascii="Times New Roman" w:hAnsi="Times New Roman" w:cs="Times New Roman"/>
          <w:sz w:val="24"/>
          <w:szCs w:val="24"/>
        </w:rPr>
        <w:t xml:space="preserve"> ten years’ imprisonment for this charge (after a reduction from 11 years). There </w:t>
      </w:r>
      <w:r w:rsidR="000D0A1D">
        <w:rPr>
          <w:rFonts w:ascii="Times New Roman" w:hAnsi="Times New Roman" w:cs="Times New Roman"/>
          <w:sz w:val="24"/>
          <w:szCs w:val="24"/>
        </w:rPr>
        <w:t>had</w:t>
      </w:r>
      <w:r w:rsidR="000D0A1D" w:rsidRPr="005F60B5">
        <w:rPr>
          <w:rFonts w:ascii="Times New Roman" w:hAnsi="Times New Roman" w:cs="Times New Roman"/>
          <w:sz w:val="24"/>
          <w:szCs w:val="24"/>
        </w:rPr>
        <w:t xml:space="preserve"> </w:t>
      </w:r>
      <w:r w:rsidR="00F35CCF" w:rsidRPr="005F60B5">
        <w:rPr>
          <w:rFonts w:ascii="Times New Roman" w:hAnsi="Times New Roman" w:cs="Times New Roman"/>
          <w:sz w:val="24"/>
          <w:szCs w:val="24"/>
        </w:rPr>
        <w:t xml:space="preserve">also </w:t>
      </w:r>
      <w:r w:rsidR="000D0A1D">
        <w:rPr>
          <w:rFonts w:ascii="Times New Roman" w:hAnsi="Times New Roman" w:cs="Times New Roman"/>
          <w:sz w:val="24"/>
          <w:szCs w:val="24"/>
        </w:rPr>
        <w:t xml:space="preserve">been </w:t>
      </w:r>
      <w:r w:rsidR="00F35CCF" w:rsidRPr="005F60B5">
        <w:rPr>
          <w:rFonts w:ascii="Times New Roman" w:hAnsi="Times New Roman" w:cs="Times New Roman"/>
          <w:sz w:val="24"/>
          <w:szCs w:val="24"/>
        </w:rPr>
        <w:t>no increase in the imprisonment term in lieu of caning: BPH could not be caned as he was more than 50 years old.</w:t>
      </w:r>
    </w:p>
    <w:p w14:paraId="259C7C63"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7F5CB1D6" w14:textId="77777777" w:rsidR="006266BD" w:rsidRPr="00F82522" w:rsidRDefault="00F35CCF" w:rsidP="00AB16D7">
      <w:pPr>
        <w:pStyle w:val="Standard"/>
        <w:spacing w:line="240" w:lineRule="auto"/>
        <w:jc w:val="both"/>
        <w:rPr>
          <w:rFonts w:ascii="Times New Roman" w:hAnsi="Times New Roman" w:cs="Times New Roman"/>
          <w:iCs/>
          <w:sz w:val="24"/>
          <w:szCs w:val="24"/>
          <w:u w:val="single"/>
        </w:rPr>
      </w:pPr>
      <w:r w:rsidRPr="00F82522">
        <w:rPr>
          <w:rFonts w:ascii="Times New Roman" w:hAnsi="Times New Roman" w:cs="Times New Roman"/>
          <w:iCs/>
          <w:sz w:val="24"/>
          <w:szCs w:val="24"/>
          <w:u w:val="single"/>
        </w:rPr>
        <w:t xml:space="preserve">(ii)  </w:t>
      </w:r>
      <w:r w:rsidRPr="00F82522">
        <w:rPr>
          <w:rFonts w:ascii="Times New Roman" w:hAnsi="Times New Roman" w:cs="Times New Roman"/>
          <w:i/>
          <w:sz w:val="24"/>
          <w:szCs w:val="24"/>
          <w:u w:val="single"/>
        </w:rPr>
        <w:t>BVZ</w:t>
      </w:r>
    </w:p>
    <w:p w14:paraId="221F50B6" w14:textId="775AC56D"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Applying the </w:t>
      </w:r>
      <w:r w:rsidRPr="005F60B5">
        <w:rPr>
          <w:rFonts w:ascii="Times New Roman" w:hAnsi="Times New Roman" w:cs="Times New Roman"/>
          <w:i/>
          <w:sz w:val="24"/>
          <w:szCs w:val="24"/>
        </w:rPr>
        <w:t>Pram Nair</w:t>
      </w:r>
      <w:r w:rsidRPr="005F60B5">
        <w:rPr>
          <w:rFonts w:ascii="Times New Roman" w:hAnsi="Times New Roman" w:cs="Times New Roman"/>
          <w:sz w:val="24"/>
          <w:szCs w:val="24"/>
        </w:rPr>
        <w:t xml:space="preserve"> framework for the two sexual penetration by assault charges in that case, the CA held that the individual sentences of ten years’ imprisonment and eight strokes of the cane for each of the two charges were</w:t>
      </w:r>
      <w:r w:rsidR="002D7DDB">
        <w:rPr>
          <w:rFonts w:ascii="Times New Roman" w:hAnsi="Times New Roman" w:cs="Times New Roman"/>
          <w:sz w:val="24"/>
          <w:szCs w:val="24"/>
        </w:rPr>
        <w:t xml:space="preserve"> also</w:t>
      </w:r>
      <w:r w:rsidR="00D0059E">
        <w:rPr>
          <w:rFonts w:ascii="Times New Roman" w:hAnsi="Times New Roman" w:cs="Times New Roman"/>
          <w:sz w:val="24"/>
          <w:szCs w:val="24"/>
        </w:rPr>
        <w:t xml:space="preserve"> actually</w:t>
      </w:r>
      <w:r w:rsidRPr="005F60B5">
        <w:rPr>
          <w:rFonts w:ascii="Times New Roman" w:hAnsi="Times New Roman" w:cs="Times New Roman"/>
          <w:sz w:val="24"/>
          <w:szCs w:val="24"/>
        </w:rPr>
        <w:t xml:space="preserve"> lenient.</w:t>
      </w:r>
    </w:p>
    <w:p w14:paraId="2668143C"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01DD0B88" w14:textId="5512CEE4"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The CA held that the</w:t>
      </w:r>
      <w:r w:rsidR="0048121F">
        <w:rPr>
          <w:rFonts w:ascii="Times New Roman" w:hAnsi="Times New Roman" w:cs="Times New Roman"/>
          <w:sz w:val="24"/>
          <w:szCs w:val="24"/>
        </w:rPr>
        <w:t xml:space="preserve"> HC in</w:t>
      </w:r>
      <w:r w:rsidRPr="005F60B5">
        <w:rPr>
          <w:rFonts w:ascii="Times New Roman" w:hAnsi="Times New Roman" w:cs="Times New Roman"/>
          <w:sz w:val="24"/>
          <w:szCs w:val="24"/>
        </w:rPr>
        <w:t xml:space="preserve"> </w:t>
      </w:r>
      <w:r w:rsidRPr="005F60B5">
        <w:rPr>
          <w:rFonts w:ascii="Times New Roman" w:hAnsi="Times New Roman" w:cs="Times New Roman"/>
          <w:i/>
          <w:sz w:val="24"/>
          <w:szCs w:val="24"/>
        </w:rPr>
        <w:t>BVZ</w:t>
      </w:r>
      <w:r w:rsidRPr="005F60B5">
        <w:rPr>
          <w:rFonts w:ascii="Times New Roman" w:hAnsi="Times New Roman" w:cs="Times New Roman"/>
          <w:sz w:val="24"/>
          <w:szCs w:val="24"/>
        </w:rPr>
        <w:t xml:space="preserve"> had correctly identified BVZ as a serial sexual predator. It agreed with the five aggravating factors considered by the HC. </w:t>
      </w:r>
      <w:r w:rsidRPr="005F60B5">
        <w:rPr>
          <w:rFonts w:ascii="Times New Roman" w:hAnsi="Times New Roman" w:cs="Times New Roman"/>
          <w:i/>
          <w:sz w:val="24"/>
          <w:szCs w:val="24"/>
        </w:rPr>
        <w:t xml:space="preserve">First, </w:t>
      </w:r>
      <w:r w:rsidRPr="005F60B5">
        <w:rPr>
          <w:rFonts w:ascii="Times New Roman" w:hAnsi="Times New Roman" w:cs="Times New Roman"/>
          <w:sz w:val="24"/>
          <w:szCs w:val="24"/>
        </w:rPr>
        <w:t xml:space="preserve">V1 was only 14 years old at the time of the offences, and </w:t>
      </w:r>
      <w:r w:rsidR="00C47D5E">
        <w:rPr>
          <w:rFonts w:ascii="Times New Roman" w:hAnsi="Times New Roman" w:cs="Times New Roman"/>
          <w:sz w:val="24"/>
          <w:szCs w:val="24"/>
        </w:rPr>
        <w:t xml:space="preserve">was </w:t>
      </w:r>
      <w:r w:rsidRPr="005F60B5">
        <w:rPr>
          <w:rFonts w:ascii="Times New Roman" w:hAnsi="Times New Roman" w:cs="Times New Roman"/>
          <w:sz w:val="24"/>
          <w:szCs w:val="24"/>
        </w:rPr>
        <w:t xml:space="preserve">thus was a young and vulnerable victim. </w:t>
      </w:r>
      <w:r w:rsidRPr="005F60B5">
        <w:rPr>
          <w:rFonts w:ascii="Times New Roman" w:hAnsi="Times New Roman" w:cs="Times New Roman"/>
          <w:i/>
          <w:sz w:val="24"/>
          <w:szCs w:val="24"/>
        </w:rPr>
        <w:t>Second</w:t>
      </w:r>
      <w:r w:rsidRPr="005F60B5">
        <w:rPr>
          <w:rFonts w:ascii="Times New Roman" w:hAnsi="Times New Roman" w:cs="Times New Roman"/>
          <w:sz w:val="24"/>
          <w:szCs w:val="24"/>
        </w:rPr>
        <w:t>, BVZ</w:t>
      </w:r>
      <w:r w:rsidRPr="005F60B5">
        <w:rPr>
          <w:rFonts w:ascii="Times New Roman" w:hAnsi="Times New Roman" w:cs="Times New Roman"/>
          <w:i/>
          <w:sz w:val="24"/>
          <w:szCs w:val="24"/>
        </w:rPr>
        <w:t xml:space="preserve"> </w:t>
      </w:r>
      <w:r w:rsidRPr="005F60B5">
        <w:rPr>
          <w:rFonts w:ascii="Times New Roman" w:hAnsi="Times New Roman" w:cs="Times New Roman"/>
          <w:sz w:val="24"/>
          <w:szCs w:val="24"/>
        </w:rPr>
        <w:t xml:space="preserve">was the father of V3, who was V1’s close friend. Since V1 and V3 were close friends since childhood and V1 would visit V3’s house often, V1 would have met BVZ over the years and would have seen BVZ as a quasi-parental figure. BVZ therefore stood in a position of trust, which he abused by committing the offence. </w:t>
      </w:r>
      <w:r w:rsidRPr="005F60B5">
        <w:rPr>
          <w:rFonts w:ascii="Times New Roman" w:hAnsi="Times New Roman" w:cs="Times New Roman"/>
          <w:i/>
          <w:sz w:val="24"/>
          <w:szCs w:val="24"/>
        </w:rPr>
        <w:t>Third</w:t>
      </w:r>
      <w:r w:rsidRPr="005F60B5">
        <w:rPr>
          <w:rFonts w:ascii="Times New Roman" w:hAnsi="Times New Roman" w:cs="Times New Roman"/>
          <w:sz w:val="24"/>
          <w:szCs w:val="24"/>
        </w:rPr>
        <w:t>, the acts were of a humiliating nature. BVZ</w:t>
      </w:r>
      <w:r w:rsidRPr="005F60B5">
        <w:rPr>
          <w:rFonts w:ascii="Times New Roman" w:hAnsi="Times New Roman" w:cs="Times New Roman"/>
          <w:i/>
          <w:sz w:val="24"/>
          <w:szCs w:val="24"/>
        </w:rPr>
        <w:t xml:space="preserve"> </w:t>
      </w:r>
      <w:r w:rsidRPr="005F60B5">
        <w:rPr>
          <w:rFonts w:ascii="Times New Roman" w:hAnsi="Times New Roman" w:cs="Times New Roman"/>
          <w:sz w:val="24"/>
          <w:szCs w:val="24"/>
        </w:rPr>
        <w:t xml:space="preserve">had forced V1 to fellate him twice, exposing her to the risk of contracting sexually transmitted diseases. The fact that BVZ had also told V1 to swallow his semen after ejaculation was also demeaning and aggravated the offence. </w:t>
      </w:r>
      <w:r w:rsidRPr="005F60B5">
        <w:rPr>
          <w:rFonts w:ascii="Times New Roman" w:hAnsi="Times New Roman" w:cs="Times New Roman"/>
          <w:i/>
          <w:sz w:val="24"/>
          <w:szCs w:val="24"/>
        </w:rPr>
        <w:t>Fourth</w:t>
      </w:r>
      <w:r w:rsidRPr="005F60B5">
        <w:rPr>
          <w:rFonts w:ascii="Times New Roman" w:hAnsi="Times New Roman" w:cs="Times New Roman"/>
          <w:sz w:val="24"/>
          <w:szCs w:val="24"/>
        </w:rPr>
        <w:t xml:space="preserve">, there was premeditation in both offences. Regarding the first occasion, </w:t>
      </w:r>
      <w:r w:rsidRPr="005F60B5">
        <w:rPr>
          <w:rFonts w:ascii="Times New Roman" w:hAnsi="Times New Roman" w:cs="Times New Roman"/>
          <w:i/>
          <w:sz w:val="24"/>
          <w:szCs w:val="24"/>
        </w:rPr>
        <w:t xml:space="preserve">BVZ </w:t>
      </w:r>
      <w:r w:rsidRPr="005F60B5">
        <w:rPr>
          <w:rFonts w:ascii="Times New Roman" w:hAnsi="Times New Roman" w:cs="Times New Roman"/>
          <w:sz w:val="24"/>
          <w:szCs w:val="24"/>
        </w:rPr>
        <w:t xml:space="preserve">had put on an act of being spiritually </w:t>
      </w:r>
      <w:r w:rsidR="00C47D5E">
        <w:rPr>
          <w:rFonts w:ascii="Times New Roman" w:hAnsi="Times New Roman" w:cs="Times New Roman"/>
          <w:sz w:val="24"/>
          <w:szCs w:val="24"/>
        </w:rPr>
        <w:t>possessed</w:t>
      </w:r>
      <w:r w:rsidR="00C47D5E" w:rsidRPr="005F60B5">
        <w:rPr>
          <w:rFonts w:ascii="Times New Roman" w:hAnsi="Times New Roman" w:cs="Times New Roman"/>
          <w:sz w:val="24"/>
          <w:szCs w:val="24"/>
        </w:rPr>
        <w:t xml:space="preserve"> </w:t>
      </w:r>
      <w:r w:rsidRPr="005F60B5">
        <w:rPr>
          <w:rFonts w:ascii="Times New Roman" w:hAnsi="Times New Roman" w:cs="Times New Roman"/>
          <w:sz w:val="24"/>
          <w:szCs w:val="24"/>
        </w:rPr>
        <w:t xml:space="preserve">and used that to trick V1 into fellating him. On the second occasion, he also brought V1 out of the flat to prevent </w:t>
      </w:r>
      <w:r w:rsidR="000445B6">
        <w:rPr>
          <w:rFonts w:ascii="Times New Roman" w:hAnsi="Times New Roman" w:cs="Times New Roman"/>
          <w:sz w:val="24"/>
          <w:szCs w:val="24"/>
        </w:rPr>
        <w:t xml:space="preserve">his </w:t>
      </w:r>
      <w:r w:rsidRPr="005F60B5">
        <w:rPr>
          <w:rFonts w:ascii="Times New Roman" w:hAnsi="Times New Roman" w:cs="Times New Roman"/>
          <w:sz w:val="24"/>
          <w:szCs w:val="24"/>
        </w:rPr>
        <w:t xml:space="preserve">being discovered in the act by V3. </w:t>
      </w:r>
      <w:r w:rsidRPr="00152B7E">
        <w:rPr>
          <w:rFonts w:ascii="Times New Roman" w:hAnsi="Times New Roman" w:cs="Times New Roman"/>
          <w:i/>
          <w:sz w:val="24"/>
          <w:szCs w:val="24"/>
        </w:rPr>
        <w:t>Finally</w:t>
      </w:r>
      <w:r w:rsidRPr="005F60B5">
        <w:rPr>
          <w:rFonts w:ascii="Times New Roman" w:hAnsi="Times New Roman" w:cs="Times New Roman"/>
          <w:sz w:val="24"/>
          <w:szCs w:val="24"/>
        </w:rPr>
        <w:t>, BVZ used force</w:t>
      </w:r>
      <w:r w:rsidR="0063573B">
        <w:rPr>
          <w:rFonts w:ascii="Times New Roman" w:hAnsi="Times New Roman" w:cs="Times New Roman"/>
          <w:sz w:val="24"/>
          <w:szCs w:val="24"/>
        </w:rPr>
        <w:t>,</w:t>
      </w:r>
      <w:r w:rsidRPr="005F60B5">
        <w:rPr>
          <w:rFonts w:ascii="Times New Roman" w:hAnsi="Times New Roman" w:cs="Times New Roman"/>
          <w:sz w:val="24"/>
          <w:szCs w:val="24"/>
        </w:rPr>
        <w:t xml:space="preserve"> </w:t>
      </w:r>
      <w:r w:rsidR="00621B09">
        <w:rPr>
          <w:rFonts w:ascii="Times New Roman" w:hAnsi="Times New Roman" w:cs="Times New Roman"/>
          <w:sz w:val="24"/>
          <w:szCs w:val="24"/>
        </w:rPr>
        <w:t>as well</w:t>
      </w:r>
      <w:r w:rsidR="00621B09" w:rsidRPr="005F60B5">
        <w:rPr>
          <w:rFonts w:ascii="Times New Roman" w:hAnsi="Times New Roman" w:cs="Times New Roman"/>
          <w:sz w:val="24"/>
          <w:szCs w:val="24"/>
        </w:rPr>
        <w:t xml:space="preserve"> </w:t>
      </w:r>
      <w:r w:rsidRPr="005F60B5">
        <w:rPr>
          <w:rFonts w:ascii="Times New Roman" w:hAnsi="Times New Roman" w:cs="Times New Roman"/>
          <w:sz w:val="24"/>
          <w:szCs w:val="24"/>
        </w:rPr>
        <w:t>the threat of using more force on V1</w:t>
      </w:r>
      <w:r w:rsidR="009E1A09">
        <w:rPr>
          <w:rFonts w:ascii="Times New Roman" w:hAnsi="Times New Roman" w:cs="Times New Roman"/>
          <w:sz w:val="24"/>
          <w:szCs w:val="24"/>
        </w:rPr>
        <w:t>,</w:t>
      </w:r>
      <w:r w:rsidRPr="005F60B5">
        <w:rPr>
          <w:rFonts w:ascii="Times New Roman" w:hAnsi="Times New Roman" w:cs="Times New Roman"/>
          <w:sz w:val="24"/>
          <w:szCs w:val="24"/>
        </w:rPr>
        <w:t xml:space="preserve"> in respect of the second sexual penetration offence. </w:t>
      </w:r>
    </w:p>
    <w:p w14:paraId="181009B2"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3A50A85D" w14:textId="322ACB54"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With regard to the two sexual assault by penetration charges, the CA stated that given the number of aggravating factors present, the offences should not have been treated as falling at the lower end of Band 2 of the </w:t>
      </w:r>
      <w:r w:rsidRPr="005F60B5">
        <w:rPr>
          <w:rFonts w:ascii="Times New Roman" w:hAnsi="Times New Roman" w:cs="Times New Roman"/>
          <w:i/>
          <w:sz w:val="24"/>
          <w:szCs w:val="24"/>
        </w:rPr>
        <w:t xml:space="preserve">Pram Nair </w:t>
      </w:r>
      <w:r w:rsidRPr="005F60B5">
        <w:rPr>
          <w:rFonts w:ascii="Times New Roman" w:hAnsi="Times New Roman" w:cs="Times New Roman"/>
          <w:sz w:val="24"/>
          <w:szCs w:val="24"/>
        </w:rPr>
        <w:t xml:space="preserve">sentencing bands. Instead, the aggravating factors placed each offence in at least the middle or upper half of Band 2, where each offence would have attracted between 12 to 14 years’ imprisonment. </w:t>
      </w:r>
    </w:p>
    <w:p w14:paraId="4357D931" w14:textId="77777777" w:rsidR="006266BD" w:rsidRPr="005F60B5" w:rsidRDefault="006266BD" w:rsidP="00AB16D7">
      <w:pPr>
        <w:pStyle w:val="Standard"/>
        <w:spacing w:line="240" w:lineRule="auto"/>
        <w:jc w:val="both"/>
        <w:rPr>
          <w:rFonts w:ascii="Times New Roman" w:eastAsia="Times New Roman" w:hAnsi="Times New Roman" w:cs="Times New Roman"/>
          <w:sz w:val="24"/>
          <w:szCs w:val="24"/>
        </w:rPr>
      </w:pPr>
    </w:p>
    <w:p w14:paraId="1C340BBD" w14:textId="7A65A134"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The CA noted that </w:t>
      </w:r>
      <w:r w:rsidRPr="005F60B5">
        <w:rPr>
          <w:rFonts w:ascii="Times New Roman" w:hAnsi="Times New Roman" w:cs="Times New Roman"/>
          <w:i/>
          <w:sz w:val="24"/>
          <w:szCs w:val="24"/>
        </w:rPr>
        <w:t xml:space="preserve">BVZ’s </w:t>
      </w:r>
      <w:r w:rsidRPr="005F60B5">
        <w:rPr>
          <w:rFonts w:ascii="Times New Roman" w:hAnsi="Times New Roman" w:cs="Times New Roman"/>
          <w:sz w:val="24"/>
          <w:szCs w:val="24"/>
        </w:rPr>
        <w:t xml:space="preserve">appeal was essentially against the HC’s decision that the imprisonment sentences for the two sexual assault by penetration charges run consecutively, resulting in an aggregate sentence of 20 years’ imprisonment and 16 strokes of the cane. </w:t>
      </w:r>
      <w:r w:rsidR="00F81FB0">
        <w:rPr>
          <w:rFonts w:ascii="Times New Roman" w:hAnsi="Times New Roman" w:cs="Times New Roman"/>
          <w:sz w:val="24"/>
          <w:szCs w:val="24"/>
        </w:rPr>
        <w:t>However, t</w:t>
      </w:r>
      <w:r w:rsidRPr="005F60B5">
        <w:rPr>
          <w:rFonts w:ascii="Times New Roman" w:hAnsi="Times New Roman" w:cs="Times New Roman"/>
          <w:sz w:val="24"/>
          <w:szCs w:val="24"/>
        </w:rPr>
        <w:t>he CA held that there was no error in the</w:t>
      </w:r>
      <w:r w:rsidR="00F1385C">
        <w:rPr>
          <w:rFonts w:ascii="Times New Roman" w:hAnsi="Times New Roman" w:cs="Times New Roman"/>
          <w:sz w:val="24"/>
          <w:szCs w:val="24"/>
        </w:rPr>
        <w:t xml:space="preserve"> HC’s</w:t>
      </w:r>
      <w:r w:rsidRPr="005F60B5">
        <w:rPr>
          <w:rFonts w:ascii="Times New Roman" w:hAnsi="Times New Roman" w:cs="Times New Roman"/>
          <w:sz w:val="24"/>
          <w:szCs w:val="24"/>
        </w:rPr>
        <w:t xml:space="preserve"> decision. While V1 was the victim on both occasions, the two offences occurred about ten months apart and were therefore distinct offences. She was made to suffer the </w:t>
      </w:r>
      <w:r w:rsidRPr="005F60B5">
        <w:rPr>
          <w:rFonts w:ascii="Times New Roman" w:hAnsi="Times New Roman" w:cs="Times New Roman"/>
          <w:sz w:val="24"/>
          <w:szCs w:val="24"/>
        </w:rPr>
        <w:lastRenderedPageBreak/>
        <w:t xml:space="preserve">same invasion and indignity twice, even after </w:t>
      </w:r>
      <w:r w:rsidR="00ED4A3E">
        <w:rPr>
          <w:rFonts w:ascii="Times New Roman" w:hAnsi="Times New Roman" w:cs="Times New Roman"/>
          <w:sz w:val="24"/>
          <w:szCs w:val="24"/>
        </w:rPr>
        <w:t>taking</w:t>
      </w:r>
      <w:r w:rsidRPr="005F60B5">
        <w:rPr>
          <w:rFonts w:ascii="Times New Roman" w:hAnsi="Times New Roman" w:cs="Times New Roman"/>
          <w:sz w:val="24"/>
          <w:szCs w:val="24"/>
        </w:rPr>
        <w:t xml:space="preserve"> the precaution of not going to BVZ’s flat unless V3 was with her. If the imprisonment terms for the two sexual penetration offences ran concurrently (rather than consecutively), </w:t>
      </w:r>
      <w:r w:rsidRPr="005F60B5">
        <w:rPr>
          <w:rFonts w:ascii="Times New Roman" w:hAnsi="Times New Roman" w:cs="Times New Roman"/>
          <w:i/>
          <w:sz w:val="24"/>
          <w:szCs w:val="24"/>
        </w:rPr>
        <w:t xml:space="preserve">BVZ </w:t>
      </w:r>
      <w:r w:rsidRPr="005F60B5">
        <w:rPr>
          <w:rFonts w:ascii="Times New Roman" w:hAnsi="Times New Roman" w:cs="Times New Roman"/>
          <w:sz w:val="24"/>
          <w:szCs w:val="24"/>
        </w:rPr>
        <w:t>would effectively escape the consequences for the second incident.</w:t>
      </w:r>
    </w:p>
    <w:p w14:paraId="13B30A75"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56A4F834" w14:textId="2A2B8AD6"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hAnsi="Times New Roman" w:cs="Times New Roman"/>
          <w:sz w:val="24"/>
          <w:szCs w:val="24"/>
        </w:rPr>
        <w:t xml:space="preserve">The CA declined to moderate the aggregate sentence downwards, based on the totality principle. Had the proper individual sentences for the sexual penetration offences been ordered, the aggregate sentence would have exceeded 24 years’ imprisonment. Taking into account the totality of BVZ’s criminal </w:t>
      </w:r>
      <w:proofErr w:type="spellStart"/>
      <w:r w:rsidRPr="005F60B5">
        <w:rPr>
          <w:rFonts w:ascii="Times New Roman" w:hAnsi="Times New Roman" w:cs="Times New Roman"/>
          <w:sz w:val="24"/>
          <w:szCs w:val="24"/>
        </w:rPr>
        <w:t>behaviour</w:t>
      </w:r>
      <w:proofErr w:type="spellEnd"/>
      <w:r w:rsidRPr="005F60B5">
        <w:rPr>
          <w:rFonts w:ascii="Times New Roman" w:hAnsi="Times New Roman" w:cs="Times New Roman"/>
          <w:sz w:val="24"/>
          <w:szCs w:val="24"/>
        </w:rPr>
        <w:t>, his plea of guilt and the charges that were taken into consideration, the aggregate sentence of 20 years’ imprisonment was not manifestly excessive.</w:t>
      </w:r>
    </w:p>
    <w:p w14:paraId="11D2CA98" w14:textId="77777777" w:rsidR="006266BD" w:rsidRPr="005F60B5" w:rsidRDefault="006266BD" w:rsidP="00AB16D7">
      <w:pPr>
        <w:pStyle w:val="Standard"/>
        <w:spacing w:line="240" w:lineRule="auto"/>
        <w:jc w:val="both"/>
        <w:rPr>
          <w:rFonts w:ascii="Times New Roman" w:hAnsi="Times New Roman" w:cs="Times New Roman"/>
          <w:sz w:val="24"/>
          <w:szCs w:val="24"/>
        </w:rPr>
      </w:pPr>
    </w:p>
    <w:p w14:paraId="5EB2EBAE" w14:textId="77777777" w:rsidR="006266BD" w:rsidRPr="00AF47DE" w:rsidRDefault="00F35CCF" w:rsidP="00AB16D7">
      <w:pPr>
        <w:pStyle w:val="Standard"/>
        <w:spacing w:line="240" w:lineRule="auto"/>
        <w:rPr>
          <w:rFonts w:ascii="Times New Roman" w:hAnsi="Times New Roman" w:cs="Times New Roman"/>
          <w:sz w:val="24"/>
          <w:szCs w:val="24"/>
        </w:rPr>
      </w:pPr>
      <w:r w:rsidRPr="00AF47DE">
        <w:rPr>
          <w:rFonts w:ascii="Times New Roman" w:hAnsi="Times New Roman" w:cs="Times New Roman"/>
          <w:b/>
          <w:sz w:val="24"/>
          <w:szCs w:val="24"/>
        </w:rPr>
        <w:t>IV.</w:t>
      </w:r>
      <w:r w:rsidRPr="00AF47DE">
        <w:rPr>
          <w:rFonts w:ascii="Times New Roman" w:hAnsi="Times New Roman" w:cs="Times New Roman"/>
          <w:b/>
          <w:sz w:val="24"/>
          <w:szCs w:val="24"/>
        </w:rPr>
        <w:tab/>
        <w:t>Legal Implications</w:t>
      </w:r>
    </w:p>
    <w:p w14:paraId="0703F8C5" w14:textId="27E645FF" w:rsidR="006266BD" w:rsidRPr="005F60B5" w:rsidRDefault="00F35CCF" w:rsidP="00AB16D7">
      <w:pPr>
        <w:pStyle w:val="Standard"/>
        <w:spacing w:line="240" w:lineRule="auto"/>
        <w:jc w:val="both"/>
        <w:rPr>
          <w:rFonts w:ascii="Times New Roman" w:hAnsi="Times New Roman" w:cs="Times New Roman"/>
          <w:sz w:val="24"/>
          <w:szCs w:val="24"/>
        </w:rPr>
      </w:pPr>
      <w:r w:rsidRPr="005F60B5">
        <w:rPr>
          <w:rFonts w:ascii="Times New Roman" w:eastAsia="Times New Roman" w:hAnsi="Times New Roman" w:cs="Times New Roman"/>
          <w:sz w:val="24"/>
          <w:szCs w:val="24"/>
        </w:rPr>
        <w:t>Before</w:t>
      </w:r>
      <w:r w:rsidR="00B03AA6">
        <w:rPr>
          <w:rFonts w:ascii="Times New Roman" w:eastAsia="Times New Roman" w:hAnsi="Times New Roman" w:cs="Times New Roman"/>
          <w:sz w:val="24"/>
          <w:szCs w:val="24"/>
        </w:rPr>
        <w:t xml:space="preserve"> this </w:t>
      </w:r>
      <w:r w:rsidR="00B03AA6" w:rsidRPr="00B03AA6">
        <w:rPr>
          <w:rFonts w:ascii="Times New Roman" w:eastAsia="Times New Roman" w:hAnsi="Times New Roman" w:cs="Times New Roman"/>
          <w:iCs/>
          <w:sz w:val="24"/>
          <w:szCs w:val="24"/>
        </w:rPr>
        <w:t>judgment</w:t>
      </w:r>
      <w:r w:rsidR="00B03AA6">
        <w:rPr>
          <w:rFonts w:ascii="Times New Roman" w:eastAsia="Times New Roman" w:hAnsi="Times New Roman" w:cs="Times New Roman"/>
          <w:iCs/>
          <w:sz w:val="24"/>
          <w:szCs w:val="24"/>
        </w:rPr>
        <w:t>,</w:t>
      </w:r>
      <w:r w:rsidRPr="005F60B5">
        <w:rPr>
          <w:rFonts w:ascii="Times New Roman" w:eastAsia="Times New Roman" w:hAnsi="Times New Roman" w:cs="Times New Roman"/>
          <w:i/>
          <w:sz w:val="24"/>
          <w:szCs w:val="24"/>
        </w:rPr>
        <w:t xml:space="preserve"> </w:t>
      </w:r>
      <w:r w:rsidR="00220C91">
        <w:rPr>
          <w:rFonts w:ascii="Times New Roman" w:eastAsia="Times New Roman" w:hAnsi="Times New Roman" w:cs="Times New Roman"/>
          <w:iCs/>
          <w:sz w:val="24"/>
          <w:szCs w:val="24"/>
        </w:rPr>
        <w:t xml:space="preserve">it was unclear if </w:t>
      </w:r>
      <w:r w:rsidRPr="005F60B5">
        <w:rPr>
          <w:rFonts w:ascii="Times New Roman" w:eastAsia="Times New Roman" w:hAnsi="Times New Roman" w:cs="Times New Roman"/>
          <w:sz w:val="24"/>
          <w:szCs w:val="24"/>
        </w:rPr>
        <w:t xml:space="preserve">the </w:t>
      </w:r>
      <w:r w:rsidRPr="005F60B5">
        <w:rPr>
          <w:rFonts w:ascii="Times New Roman" w:eastAsia="Times New Roman" w:hAnsi="Times New Roman" w:cs="Times New Roman"/>
          <w:i/>
          <w:sz w:val="24"/>
          <w:szCs w:val="24"/>
        </w:rPr>
        <w:t xml:space="preserve">Pram Nair </w:t>
      </w:r>
      <w:r w:rsidR="00220C91">
        <w:rPr>
          <w:rFonts w:ascii="Times New Roman" w:eastAsia="Times New Roman" w:hAnsi="Times New Roman" w:cs="Times New Roman"/>
          <w:iCs/>
          <w:sz w:val="24"/>
          <w:szCs w:val="24"/>
        </w:rPr>
        <w:t xml:space="preserve">sentencing </w:t>
      </w:r>
      <w:r w:rsidRPr="005F60B5">
        <w:rPr>
          <w:rFonts w:ascii="Times New Roman" w:eastAsia="Times New Roman" w:hAnsi="Times New Roman" w:cs="Times New Roman"/>
          <w:sz w:val="24"/>
          <w:szCs w:val="24"/>
        </w:rPr>
        <w:t>framework</w:t>
      </w:r>
      <w:r w:rsidR="00220C91">
        <w:rPr>
          <w:rFonts w:ascii="Times New Roman" w:eastAsia="Times New Roman" w:hAnsi="Times New Roman" w:cs="Times New Roman"/>
          <w:sz w:val="24"/>
          <w:szCs w:val="24"/>
        </w:rPr>
        <w:t xml:space="preserve">, which </w:t>
      </w:r>
      <w:r w:rsidRPr="005F60B5">
        <w:rPr>
          <w:rFonts w:ascii="Times New Roman" w:eastAsia="Times New Roman" w:hAnsi="Times New Roman" w:cs="Times New Roman"/>
          <w:sz w:val="24"/>
          <w:szCs w:val="24"/>
        </w:rPr>
        <w:t>originally only applied to digital-vaginal penetration</w:t>
      </w:r>
      <w:r w:rsidR="00220C91">
        <w:rPr>
          <w:rFonts w:ascii="Times New Roman" w:eastAsia="Times New Roman" w:hAnsi="Times New Roman" w:cs="Times New Roman"/>
          <w:sz w:val="24"/>
          <w:szCs w:val="24"/>
        </w:rPr>
        <w:t>, would apply to all sexual assault cases</w:t>
      </w:r>
      <w:r w:rsidRPr="005F60B5">
        <w:rPr>
          <w:rFonts w:ascii="Times New Roman" w:eastAsia="Times New Roman" w:hAnsi="Times New Roman" w:cs="Times New Roman"/>
          <w:sz w:val="24"/>
          <w:szCs w:val="24"/>
        </w:rPr>
        <w:t xml:space="preserve">. </w:t>
      </w:r>
      <w:r w:rsidR="00220C91">
        <w:rPr>
          <w:rFonts w:ascii="Times New Roman" w:eastAsia="Times New Roman" w:hAnsi="Times New Roman" w:cs="Times New Roman"/>
          <w:sz w:val="24"/>
          <w:szCs w:val="24"/>
        </w:rPr>
        <w:t xml:space="preserve">This </w:t>
      </w:r>
      <w:r w:rsidR="006620EF">
        <w:rPr>
          <w:rFonts w:ascii="Times New Roman" w:eastAsia="Times New Roman" w:hAnsi="Times New Roman" w:cs="Times New Roman"/>
          <w:sz w:val="24"/>
          <w:szCs w:val="24"/>
        </w:rPr>
        <w:t>judgment</w:t>
      </w:r>
      <w:r w:rsidR="00220C91">
        <w:rPr>
          <w:rFonts w:ascii="Times New Roman" w:eastAsia="Times New Roman" w:hAnsi="Times New Roman" w:cs="Times New Roman"/>
          <w:sz w:val="24"/>
          <w:szCs w:val="24"/>
        </w:rPr>
        <w:t xml:space="preserve"> has made clear that the </w:t>
      </w:r>
      <w:r w:rsidR="00220C91">
        <w:rPr>
          <w:rFonts w:ascii="Times New Roman" w:eastAsia="Times New Roman" w:hAnsi="Times New Roman" w:cs="Times New Roman"/>
          <w:i/>
          <w:iCs/>
          <w:sz w:val="24"/>
          <w:szCs w:val="24"/>
        </w:rPr>
        <w:t>Pram Nair</w:t>
      </w:r>
      <w:r w:rsidR="00220C91">
        <w:rPr>
          <w:rFonts w:ascii="Times New Roman" w:eastAsia="Times New Roman" w:hAnsi="Times New Roman" w:cs="Times New Roman"/>
          <w:sz w:val="24"/>
          <w:szCs w:val="24"/>
        </w:rPr>
        <w:t xml:space="preserve"> sentencing framework</w:t>
      </w:r>
      <w:r w:rsidRPr="005F60B5">
        <w:rPr>
          <w:rFonts w:ascii="Times New Roman" w:eastAsia="Times New Roman" w:hAnsi="Times New Roman" w:cs="Times New Roman"/>
          <w:sz w:val="24"/>
          <w:szCs w:val="24"/>
        </w:rPr>
        <w:t xml:space="preserve"> </w:t>
      </w:r>
      <w:r w:rsidR="00C47D5E">
        <w:rPr>
          <w:rFonts w:ascii="Times New Roman" w:eastAsia="Times New Roman" w:hAnsi="Times New Roman" w:cs="Times New Roman"/>
          <w:sz w:val="24"/>
          <w:szCs w:val="24"/>
        </w:rPr>
        <w:t>applies</w:t>
      </w:r>
      <w:r w:rsidRPr="005F60B5">
        <w:rPr>
          <w:rFonts w:ascii="Times New Roman" w:eastAsia="Times New Roman" w:hAnsi="Times New Roman" w:cs="Times New Roman"/>
          <w:sz w:val="24"/>
          <w:szCs w:val="24"/>
        </w:rPr>
        <w:t xml:space="preserve"> to all forms of sexual assault by penetration</w:t>
      </w:r>
      <w:r w:rsidR="00C47D5E">
        <w:rPr>
          <w:rFonts w:ascii="Times New Roman" w:eastAsia="Times New Roman" w:hAnsi="Times New Roman" w:cs="Times New Roman"/>
          <w:sz w:val="24"/>
          <w:szCs w:val="24"/>
        </w:rPr>
        <w:t xml:space="preserve"> and</w:t>
      </w:r>
      <w:r w:rsidR="00220C91">
        <w:rPr>
          <w:rFonts w:ascii="Times New Roman" w:eastAsia="Times New Roman" w:hAnsi="Times New Roman" w:cs="Times New Roman"/>
          <w:sz w:val="24"/>
          <w:szCs w:val="24"/>
        </w:rPr>
        <w:t xml:space="preserve"> </w:t>
      </w:r>
      <w:r w:rsidRPr="005F60B5">
        <w:rPr>
          <w:rFonts w:ascii="Times New Roman" w:eastAsia="Times New Roman" w:hAnsi="Times New Roman" w:cs="Times New Roman"/>
          <w:sz w:val="24"/>
          <w:szCs w:val="24"/>
        </w:rPr>
        <w:t>that there is no hierarchy of severity as to the possible permutations of sexual assault under section 376.</w:t>
      </w:r>
    </w:p>
    <w:p w14:paraId="25C0E75A" w14:textId="44039B21" w:rsidR="00ED55A5" w:rsidRPr="005F60B5" w:rsidRDefault="00ED55A5" w:rsidP="00AB16D7">
      <w:pPr>
        <w:pStyle w:val="Standard"/>
        <w:spacing w:line="240" w:lineRule="auto"/>
        <w:jc w:val="both"/>
        <w:rPr>
          <w:rFonts w:ascii="Times New Roman" w:eastAsia="Times New Roman" w:hAnsi="Times New Roman" w:cs="Times New Roman"/>
          <w:i/>
          <w:sz w:val="24"/>
          <w:szCs w:val="24"/>
        </w:rPr>
      </w:pPr>
    </w:p>
    <w:p w14:paraId="340E5BD1" w14:textId="78C17D28" w:rsidR="006266BD" w:rsidRPr="005F60B5" w:rsidRDefault="00E003A7" w:rsidP="00AB16D7">
      <w:pPr>
        <w:pStyle w:val="Standard"/>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This judgment </w:t>
      </w:r>
      <w:r w:rsidR="00C23C2E" w:rsidRPr="00E003A7">
        <w:rPr>
          <w:rFonts w:ascii="Times New Roman" w:eastAsia="Times New Roman" w:hAnsi="Times New Roman" w:cs="Times New Roman"/>
          <w:sz w:val="24"/>
          <w:szCs w:val="24"/>
        </w:rPr>
        <w:t>also</w:t>
      </w:r>
      <w:r w:rsidR="00C23C2E">
        <w:rPr>
          <w:rFonts w:ascii="Times New Roman" w:eastAsia="Times New Roman" w:hAnsi="Times New Roman" w:cs="Times New Roman"/>
          <w:sz w:val="24"/>
          <w:szCs w:val="24"/>
        </w:rPr>
        <w:t xml:space="preserve"> makes</w:t>
      </w:r>
      <w:r w:rsidR="00A57832">
        <w:rPr>
          <w:rFonts w:ascii="Times New Roman" w:eastAsia="Times New Roman" w:hAnsi="Times New Roman" w:cs="Times New Roman"/>
          <w:sz w:val="24"/>
          <w:szCs w:val="24"/>
        </w:rPr>
        <w:t xml:space="preserve"> it</w:t>
      </w:r>
      <w:r w:rsidR="00C23C2E">
        <w:rPr>
          <w:rFonts w:ascii="Times New Roman" w:eastAsia="Times New Roman" w:hAnsi="Times New Roman" w:cs="Times New Roman"/>
          <w:sz w:val="24"/>
          <w:szCs w:val="24"/>
        </w:rPr>
        <w:t xml:space="preserve"> clear that </w:t>
      </w:r>
      <w:r w:rsidR="00F35CCF" w:rsidRPr="005F60B5">
        <w:rPr>
          <w:rFonts w:ascii="Times New Roman" w:hAnsi="Times New Roman" w:cs="Times New Roman"/>
          <w:sz w:val="24"/>
          <w:szCs w:val="24"/>
        </w:rPr>
        <w:t xml:space="preserve">the determination of the appropriate sentence </w:t>
      </w:r>
      <w:r w:rsidR="00F35CCF" w:rsidRPr="005F60B5">
        <w:rPr>
          <w:rFonts w:ascii="Times New Roman" w:eastAsia="Times New Roman" w:hAnsi="Times New Roman" w:cs="Times New Roman"/>
          <w:sz w:val="24"/>
          <w:szCs w:val="24"/>
        </w:rPr>
        <w:t xml:space="preserve">is </w:t>
      </w:r>
      <w:r w:rsidR="00C23C2E">
        <w:rPr>
          <w:rFonts w:ascii="Times New Roman" w:eastAsia="Times New Roman" w:hAnsi="Times New Roman" w:cs="Times New Roman"/>
          <w:sz w:val="24"/>
          <w:szCs w:val="24"/>
        </w:rPr>
        <w:t xml:space="preserve">also </w:t>
      </w:r>
      <w:r w:rsidR="00F35CCF" w:rsidRPr="005F60B5">
        <w:rPr>
          <w:rFonts w:ascii="Times New Roman" w:hAnsi="Times New Roman" w:cs="Times New Roman"/>
          <w:sz w:val="24"/>
          <w:szCs w:val="24"/>
        </w:rPr>
        <w:t>based on offence</w:t>
      </w:r>
      <w:r w:rsidR="00D7173B">
        <w:rPr>
          <w:rFonts w:ascii="Times New Roman" w:eastAsia="Times New Roman" w:hAnsi="Times New Roman" w:cs="Times New Roman"/>
          <w:sz w:val="24"/>
          <w:szCs w:val="24"/>
        </w:rPr>
        <w:t>-</w:t>
      </w:r>
      <w:r w:rsidR="00F35CCF" w:rsidRPr="005F60B5">
        <w:rPr>
          <w:rFonts w:ascii="Times New Roman" w:hAnsi="Times New Roman" w:cs="Times New Roman"/>
          <w:sz w:val="24"/>
          <w:szCs w:val="24"/>
        </w:rPr>
        <w:t>specific</w:t>
      </w:r>
      <w:r w:rsidR="00C23C2E">
        <w:rPr>
          <w:rFonts w:ascii="Times New Roman" w:hAnsi="Times New Roman" w:cs="Times New Roman"/>
          <w:sz w:val="24"/>
          <w:szCs w:val="24"/>
        </w:rPr>
        <w:t xml:space="preserve"> </w:t>
      </w:r>
      <w:r w:rsidR="00F35CCF" w:rsidRPr="005F60B5">
        <w:rPr>
          <w:rFonts w:ascii="Times New Roman" w:hAnsi="Times New Roman" w:cs="Times New Roman"/>
          <w:sz w:val="24"/>
          <w:szCs w:val="24"/>
        </w:rPr>
        <w:t>factors</w:t>
      </w:r>
      <w:r w:rsidR="00C23C2E">
        <w:rPr>
          <w:rFonts w:ascii="Times New Roman" w:hAnsi="Times New Roman" w:cs="Times New Roman"/>
          <w:sz w:val="24"/>
          <w:szCs w:val="24"/>
        </w:rPr>
        <w:t>.</w:t>
      </w:r>
      <w:r w:rsidR="00D7173B">
        <w:rPr>
          <w:rFonts w:ascii="Times New Roman" w:hAnsi="Times New Roman" w:cs="Times New Roman"/>
          <w:sz w:val="24"/>
          <w:szCs w:val="24"/>
        </w:rPr>
        <w:t xml:space="preserve"> </w:t>
      </w:r>
      <w:r w:rsidR="00DD6D76">
        <w:rPr>
          <w:rFonts w:ascii="Times New Roman" w:hAnsi="Times New Roman" w:cs="Times New Roman"/>
          <w:sz w:val="24"/>
          <w:szCs w:val="24"/>
        </w:rPr>
        <w:t xml:space="preserve">This is a welcome clarification, as it </w:t>
      </w:r>
      <w:r w:rsidR="00D7173B">
        <w:rPr>
          <w:rFonts w:ascii="Times New Roman" w:hAnsi="Times New Roman" w:cs="Times New Roman"/>
          <w:sz w:val="24"/>
          <w:szCs w:val="24"/>
        </w:rPr>
        <w:t>ensures</w:t>
      </w:r>
      <w:r w:rsidR="00DD6D76">
        <w:rPr>
          <w:rFonts w:ascii="Times New Roman" w:hAnsi="Times New Roman" w:cs="Times New Roman"/>
          <w:sz w:val="24"/>
          <w:szCs w:val="24"/>
        </w:rPr>
        <w:t xml:space="preserve"> that </w:t>
      </w:r>
      <w:r w:rsidR="00872682">
        <w:rPr>
          <w:rFonts w:ascii="Times New Roman" w:hAnsi="Times New Roman" w:cs="Times New Roman"/>
          <w:sz w:val="24"/>
          <w:szCs w:val="24"/>
        </w:rPr>
        <w:t xml:space="preserve">individual offender’s actions and motivations will be taken into account </w:t>
      </w:r>
      <w:r w:rsidR="00D95FAB">
        <w:rPr>
          <w:rFonts w:ascii="Times New Roman" w:hAnsi="Times New Roman" w:cs="Times New Roman"/>
          <w:sz w:val="24"/>
          <w:szCs w:val="24"/>
        </w:rPr>
        <w:t>in sentencing</w:t>
      </w:r>
      <w:r w:rsidR="00872682">
        <w:rPr>
          <w:rFonts w:ascii="Times New Roman" w:hAnsi="Times New Roman" w:cs="Times New Roman"/>
          <w:sz w:val="24"/>
          <w:szCs w:val="24"/>
        </w:rPr>
        <w:t>.</w:t>
      </w:r>
      <w:r w:rsidR="00F35CCF" w:rsidRPr="005F60B5">
        <w:rPr>
          <w:rFonts w:ascii="Times New Roman" w:hAnsi="Times New Roman" w:cs="Times New Roman"/>
          <w:sz w:val="24"/>
          <w:szCs w:val="24"/>
        </w:rPr>
        <w:t xml:space="preserve"> </w:t>
      </w:r>
    </w:p>
    <w:p w14:paraId="25612537" w14:textId="77777777" w:rsidR="009407B9" w:rsidRDefault="009407B9" w:rsidP="009407B9">
      <w:pPr>
        <w:widowControl w:val="0"/>
        <w:pBdr>
          <w:bottom w:val="single" w:sz="12" w:space="1" w:color="auto"/>
        </w:pBdr>
        <w:spacing w:line="240" w:lineRule="auto"/>
        <w:jc w:val="both"/>
        <w:rPr>
          <w:rFonts w:ascii="Times New Roman" w:hAnsi="Times New Roman" w:cs="Times New Roman"/>
        </w:rPr>
      </w:pPr>
    </w:p>
    <w:p w14:paraId="1ADD6D06" w14:textId="42E014C3" w:rsidR="009407B9" w:rsidRPr="00054CA7" w:rsidRDefault="009407B9" w:rsidP="009407B9">
      <w:pPr>
        <w:pStyle w:val="FootnoteText"/>
        <w:widowControl w:val="0"/>
      </w:pPr>
      <w:r w:rsidRPr="00054CA7">
        <w:t xml:space="preserve">Written by: </w:t>
      </w:r>
      <w:proofErr w:type="spellStart"/>
      <w:r w:rsidR="00C6403E">
        <w:t>Meher</w:t>
      </w:r>
      <w:proofErr w:type="spellEnd"/>
      <w:r w:rsidR="00C6403E">
        <w:t xml:space="preserve"> Malhotra</w:t>
      </w:r>
      <w:r w:rsidRPr="00054CA7">
        <w:t xml:space="preserve">, </w:t>
      </w:r>
      <w:r>
        <w:t>2nd-</w:t>
      </w:r>
      <w:r w:rsidRPr="00054CA7">
        <w:t xml:space="preserve">year </w:t>
      </w:r>
      <w:r>
        <w:t>LLB</w:t>
      </w:r>
      <w:r w:rsidRPr="00054CA7">
        <w:t xml:space="preserve"> student, Singapore Management University School of Law. </w:t>
      </w:r>
    </w:p>
    <w:p w14:paraId="3BAC41F1" w14:textId="77777777" w:rsidR="009407B9" w:rsidRPr="00054CA7" w:rsidRDefault="009407B9" w:rsidP="009407B9">
      <w:pPr>
        <w:pStyle w:val="FootnoteText"/>
        <w:widowControl w:val="0"/>
      </w:pPr>
      <w:r w:rsidRPr="00054CA7">
        <w:t>Edited by: Ong Ee Ing (Senior Lecturer), Singapore Management University School of Law.</w:t>
      </w:r>
    </w:p>
    <w:p w14:paraId="674B5485" w14:textId="23734B21" w:rsidR="006266BD" w:rsidRPr="009407B9" w:rsidRDefault="006266BD" w:rsidP="00AB16D7">
      <w:pPr>
        <w:pStyle w:val="Standard"/>
        <w:spacing w:line="240" w:lineRule="auto"/>
        <w:rPr>
          <w:rFonts w:ascii="Times New Roman" w:hAnsi="Times New Roman" w:cs="Times New Roman"/>
          <w:sz w:val="24"/>
          <w:szCs w:val="24"/>
          <w:lang w:val="en-SG"/>
        </w:rPr>
      </w:pPr>
    </w:p>
    <w:p w14:paraId="6E3BB26C" w14:textId="2F58DE78" w:rsidR="00302EDA" w:rsidRPr="008B5CBE" w:rsidRDefault="00302EDA" w:rsidP="00D1692D"/>
    <w:sectPr w:rsidR="00302EDA" w:rsidRPr="008B5CBE" w:rsidSect="00D61094">
      <w:headerReference w:type="default" r:id="rId7"/>
      <w:footerReference w:type="default" r:id="rId8"/>
      <w:pgSz w:w="11906" w:h="16838"/>
      <w:pgMar w:top="1134" w:right="1134" w:bottom="1242"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D502" w14:textId="77777777" w:rsidR="003F127C" w:rsidRDefault="003F127C" w:rsidP="003812DA">
      <w:pPr>
        <w:spacing w:line="240" w:lineRule="auto"/>
      </w:pPr>
      <w:r>
        <w:separator/>
      </w:r>
    </w:p>
  </w:endnote>
  <w:endnote w:type="continuationSeparator" w:id="0">
    <w:p w14:paraId="50940206" w14:textId="77777777" w:rsidR="003F127C" w:rsidRDefault="003F127C" w:rsidP="003812DA">
      <w:pPr>
        <w:spacing w:line="240" w:lineRule="auto"/>
      </w:pPr>
      <w:r>
        <w:continuationSeparator/>
      </w:r>
    </w:p>
  </w:endnote>
  <w:endnote w:type="continuationNotice" w:id="1">
    <w:p w14:paraId="03BFC686" w14:textId="77777777" w:rsidR="003F127C" w:rsidRDefault="003F127C" w:rsidP="003812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D0C3" w14:textId="7F9A58AC" w:rsidR="003812DA" w:rsidRPr="00CB69F8" w:rsidRDefault="00BD14E7" w:rsidP="00CB69F8">
    <w:pPr>
      <w:pStyle w:val="Footer"/>
      <w:jc w:val="center"/>
      <w:rPr>
        <w:sz w:val="20"/>
        <w:szCs w:val="20"/>
      </w:rPr>
    </w:pPr>
    <w:r w:rsidRPr="00CB69F8">
      <w:rPr>
        <w:rFonts w:cs="Times New Roman"/>
        <w:sz w:val="20"/>
        <w:szCs w:val="20"/>
        <w:lang w:val="en-GB"/>
      </w:rPr>
      <w:t xml:space="preserve">Page </w:t>
    </w:r>
    <w:r w:rsidRPr="00CB69F8">
      <w:rPr>
        <w:rFonts w:cs="Times New Roman"/>
        <w:sz w:val="20"/>
        <w:szCs w:val="20"/>
        <w:lang w:val="en-GB"/>
      </w:rPr>
      <w:fldChar w:fldCharType="begin"/>
    </w:r>
    <w:r w:rsidRPr="00CB69F8">
      <w:rPr>
        <w:rFonts w:cs="Times New Roman"/>
        <w:sz w:val="20"/>
        <w:szCs w:val="20"/>
        <w:lang w:val="en-GB"/>
      </w:rPr>
      <w:instrText xml:space="preserve"> PAGE </w:instrText>
    </w:r>
    <w:r w:rsidRPr="00CB69F8">
      <w:rPr>
        <w:rFonts w:cs="Times New Roman"/>
        <w:sz w:val="20"/>
        <w:szCs w:val="20"/>
        <w:lang w:val="en-GB"/>
      </w:rPr>
      <w:fldChar w:fldCharType="separate"/>
    </w:r>
    <w:r w:rsidR="00C47D5E">
      <w:rPr>
        <w:rFonts w:cs="Times New Roman"/>
        <w:noProof/>
        <w:sz w:val="20"/>
        <w:szCs w:val="20"/>
        <w:lang w:val="en-GB"/>
      </w:rPr>
      <w:t>1</w:t>
    </w:r>
    <w:r w:rsidRPr="00CB69F8">
      <w:rPr>
        <w:rFonts w:cs="Times New Roman"/>
        <w:sz w:val="20"/>
        <w:szCs w:val="20"/>
        <w:lang w:val="en-GB"/>
      </w:rPr>
      <w:fldChar w:fldCharType="end"/>
    </w:r>
    <w:r w:rsidRPr="00CB69F8">
      <w:rPr>
        <w:rFonts w:cs="Times New Roman"/>
        <w:sz w:val="20"/>
        <w:szCs w:val="20"/>
        <w:lang w:val="en-GB"/>
      </w:rPr>
      <w:t xml:space="preserve"> of </w:t>
    </w:r>
    <w:r w:rsidRPr="00CB69F8">
      <w:rPr>
        <w:rFonts w:cs="Times New Roman"/>
        <w:sz w:val="20"/>
        <w:szCs w:val="20"/>
        <w:lang w:val="en-GB"/>
      </w:rPr>
      <w:fldChar w:fldCharType="begin"/>
    </w:r>
    <w:r w:rsidRPr="00CB69F8">
      <w:rPr>
        <w:rFonts w:cs="Times New Roman"/>
        <w:sz w:val="20"/>
        <w:szCs w:val="20"/>
        <w:lang w:val="en-GB"/>
      </w:rPr>
      <w:instrText xml:space="preserve"> NUMPAGES </w:instrText>
    </w:r>
    <w:r w:rsidRPr="00CB69F8">
      <w:rPr>
        <w:rFonts w:cs="Times New Roman"/>
        <w:sz w:val="20"/>
        <w:szCs w:val="20"/>
        <w:lang w:val="en-GB"/>
      </w:rPr>
      <w:fldChar w:fldCharType="separate"/>
    </w:r>
    <w:r w:rsidR="00C47D5E">
      <w:rPr>
        <w:rFonts w:cs="Times New Roman"/>
        <w:noProof/>
        <w:sz w:val="20"/>
        <w:szCs w:val="20"/>
        <w:lang w:val="en-GB"/>
      </w:rPr>
      <w:t>8</w:t>
    </w:r>
    <w:r w:rsidRPr="00CB69F8">
      <w:rPr>
        <w:rFonts w:cs="Times New Roman"/>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358D" w14:textId="77777777" w:rsidR="003F127C" w:rsidRDefault="003F127C" w:rsidP="003812DA">
      <w:pPr>
        <w:spacing w:line="240" w:lineRule="auto"/>
      </w:pPr>
      <w:r>
        <w:rPr>
          <w:color w:val="000000"/>
        </w:rPr>
        <w:separator/>
      </w:r>
    </w:p>
  </w:footnote>
  <w:footnote w:type="continuationSeparator" w:id="0">
    <w:p w14:paraId="1704A116" w14:textId="77777777" w:rsidR="003F127C" w:rsidRDefault="003F127C" w:rsidP="003812DA">
      <w:pPr>
        <w:spacing w:line="240" w:lineRule="auto"/>
      </w:pPr>
      <w:r>
        <w:continuationSeparator/>
      </w:r>
    </w:p>
  </w:footnote>
  <w:footnote w:type="continuationNotice" w:id="1">
    <w:p w14:paraId="6EA93DD9" w14:textId="77777777" w:rsidR="003F127C" w:rsidRDefault="003F127C" w:rsidP="003812DA">
      <w:pPr>
        <w:spacing w:line="240" w:lineRule="auto"/>
      </w:pPr>
    </w:p>
  </w:footnote>
  <w:footnote w:id="2">
    <w:p w14:paraId="7946C7EE" w14:textId="3B527806" w:rsidR="00623DE8" w:rsidRPr="00856B1C" w:rsidRDefault="00623DE8" w:rsidP="00856B1C">
      <w:pPr>
        <w:pStyle w:val="FootnoteText"/>
        <w:jc w:val="both"/>
        <w:rPr>
          <w:rFonts w:ascii="Times New Roman" w:hAnsi="Times New Roman" w:cs="Times New Roman"/>
          <w:lang w:val="en-US"/>
        </w:rPr>
      </w:pPr>
      <w:r w:rsidRPr="00856B1C">
        <w:rPr>
          <w:rStyle w:val="FootnoteReference"/>
          <w:rFonts w:ascii="Times New Roman" w:hAnsi="Times New Roman" w:cs="Times New Roman"/>
        </w:rPr>
        <w:footnoteRef/>
      </w:r>
      <w:r w:rsidRPr="00856B1C">
        <w:rPr>
          <w:rFonts w:ascii="Times New Roman" w:hAnsi="Times New Roman" w:cs="Times New Roman"/>
        </w:rPr>
        <w:t xml:space="preserve"> The court will consider certain factors </w:t>
      </w:r>
      <w:r w:rsidR="00376323" w:rsidRPr="00F77E23">
        <w:rPr>
          <w:rFonts w:ascii="Times New Roman" w:hAnsi="Times New Roman" w:cs="Times New Roman"/>
        </w:rPr>
        <w:t>when</w:t>
      </w:r>
      <w:r w:rsidRPr="00856B1C">
        <w:rPr>
          <w:rFonts w:ascii="Times New Roman" w:hAnsi="Times New Roman" w:cs="Times New Roman"/>
        </w:rPr>
        <w:t xml:space="preserve"> determining a</w:t>
      </w:r>
      <w:r w:rsidRPr="00F77E23">
        <w:rPr>
          <w:rFonts w:ascii="Times New Roman" w:hAnsi="Times New Roman" w:cs="Times New Roman"/>
        </w:rPr>
        <w:t>n offender’s</w:t>
      </w:r>
      <w:r w:rsidRPr="00856B1C">
        <w:rPr>
          <w:rFonts w:ascii="Times New Roman" w:hAnsi="Times New Roman" w:cs="Times New Roman"/>
        </w:rPr>
        <w:t xml:space="preserve"> sentence. “Aggravating factors”</w:t>
      </w:r>
      <w:r w:rsidR="009C1397">
        <w:rPr>
          <w:rFonts w:ascii="Times New Roman" w:hAnsi="Times New Roman" w:cs="Times New Roman"/>
        </w:rPr>
        <w:t>, such as abuse of trust,</w:t>
      </w:r>
      <w:r w:rsidRPr="00856B1C">
        <w:rPr>
          <w:rFonts w:ascii="Times New Roman" w:hAnsi="Times New Roman" w:cs="Times New Roman"/>
        </w:rPr>
        <w:t xml:space="preserve"> may </w:t>
      </w:r>
      <w:r w:rsidR="002857F9">
        <w:rPr>
          <w:rFonts w:ascii="Times New Roman" w:hAnsi="Times New Roman" w:cs="Times New Roman"/>
        </w:rPr>
        <w:t>result in</w:t>
      </w:r>
      <w:r w:rsidRPr="00856B1C">
        <w:rPr>
          <w:rFonts w:ascii="Times New Roman" w:hAnsi="Times New Roman" w:cs="Times New Roman"/>
        </w:rPr>
        <w:t xml:space="preserve"> a court increas</w:t>
      </w:r>
      <w:r w:rsidR="002857F9">
        <w:rPr>
          <w:rFonts w:ascii="Times New Roman" w:hAnsi="Times New Roman" w:cs="Times New Roman"/>
        </w:rPr>
        <w:t>ing</w:t>
      </w:r>
      <w:r w:rsidRPr="00856B1C">
        <w:rPr>
          <w:rFonts w:ascii="Times New Roman" w:hAnsi="Times New Roman" w:cs="Times New Roman"/>
        </w:rPr>
        <w:t xml:space="preserve"> an offender’s sentence, to reflect the severity of his or her crime.</w:t>
      </w:r>
      <w:r w:rsidR="00EA620B" w:rsidRPr="00F77E23">
        <w:rPr>
          <w:rFonts w:ascii="Times New Roman" w:hAnsi="Times New Roman" w:cs="Times New Roman"/>
        </w:rPr>
        <w:t xml:space="preserve"> Conversely</w:t>
      </w:r>
      <w:r w:rsidR="002B4A9A" w:rsidRPr="00F77E23">
        <w:rPr>
          <w:rFonts w:ascii="Times New Roman" w:hAnsi="Times New Roman" w:cs="Times New Roman"/>
        </w:rPr>
        <w:t>,</w:t>
      </w:r>
      <w:r w:rsidR="00EA620B" w:rsidRPr="00F77E23">
        <w:rPr>
          <w:rFonts w:ascii="Times New Roman" w:hAnsi="Times New Roman" w:cs="Times New Roman"/>
        </w:rPr>
        <w:t xml:space="preserve"> “mitigating factors”</w:t>
      </w:r>
      <w:r w:rsidR="000F732A">
        <w:rPr>
          <w:rFonts w:ascii="Times New Roman" w:hAnsi="Times New Roman" w:cs="Times New Roman"/>
        </w:rPr>
        <w:t>, such as remorse,</w:t>
      </w:r>
      <w:r w:rsidR="00EA620B" w:rsidRPr="00F77E23">
        <w:rPr>
          <w:rFonts w:ascii="Times New Roman" w:hAnsi="Times New Roman" w:cs="Times New Roman"/>
        </w:rPr>
        <w:t xml:space="preserve"> may </w:t>
      </w:r>
      <w:r w:rsidR="005C27A7">
        <w:rPr>
          <w:rFonts w:ascii="Times New Roman" w:hAnsi="Times New Roman" w:cs="Times New Roman"/>
        </w:rPr>
        <w:t>result in</w:t>
      </w:r>
      <w:r w:rsidR="00EA620B" w:rsidRPr="00F77E23">
        <w:rPr>
          <w:rFonts w:ascii="Times New Roman" w:hAnsi="Times New Roman" w:cs="Times New Roman"/>
        </w:rPr>
        <w:t xml:space="preserve"> a court reduc</w:t>
      </w:r>
      <w:r w:rsidR="005C27A7">
        <w:rPr>
          <w:rFonts w:ascii="Times New Roman" w:hAnsi="Times New Roman" w:cs="Times New Roman"/>
        </w:rPr>
        <w:t>ing</w:t>
      </w:r>
      <w:r w:rsidR="00EA620B" w:rsidRPr="00F77E23">
        <w:rPr>
          <w:rFonts w:ascii="Times New Roman" w:hAnsi="Times New Roman" w:cs="Times New Roman"/>
        </w:rPr>
        <w:t xml:space="preserve"> an offender’s sentence.</w:t>
      </w:r>
    </w:p>
  </w:footnote>
  <w:footnote w:id="3">
    <w:p w14:paraId="373347F0" w14:textId="50E41875" w:rsidR="006266BD" w:rsidRPr="00F77E23" w:rsidRDefault="00F35CCF" w:rsidP="008177A2">
      <w:pPr>
        <w:pStyle w:val="Standard"/>
        <w:spacing w:line="240" w:lineRule="auto"/>
        <w:jc w:val="both"/>
        <w:rPr>
          <w:rFonts w:ascii="Times New Roman" w:hAnsi="Times New Roman" w:cs="Times New Roman"/>
          <w:sz w:val="20"/>
          <w:szCs w:val="20"/>
        </w:rPr>
      </w:pPr>
      <w:r w:rsidRPr="00F77E23">
        <w:rPr>
          <w:rStyle w:val="FootnoteReference"/>
          <w:rFonts w:ascii="Times New Roman" w:hAnsi="Times New Roman" w:cs="Times New Roman"/>
          <w:sz w:val="20"/>
          <w:szCs w:val="20"/>
        </w:rPr>
        <w:footnoteRef/>
      </w:r>
      <w:r w:rsidR="002465AC" w:rsidRPr="00F77E23">
        <w:rPr>
          <w:rFonts w:ascii="Times New Roman" w:eastAsia="Times New Roman" w:hAnsi="Times New Roman" w:cs="Times New Roman"/>
          <w:sz w:val="20"/>
          <w:szCs w:val="20"/>
        </w:rPr>
        <w:t xml:space="preserve"> This refers to the principle that the</w:t>
      </w:r>
      <w:r w:rsidRPr="00F77E23">
        <w:rPr>
          <w:rFonts w:ascii="Times New Roman" w:eastAsia="Times New Roman" w:hAnsi="Times New Roman" w:cs="Times New Roman"/>
          <w:sz w:val="20"/>
          <w:szCs w:val="20"/>
        </w:rPr>
        <w:t xml:space="preserve"> </w:t>
      </w:r>
      <w:r w:rsidR="002465AC" w:rsidRPr="00F77E23">
        <w:rPr>
          <w:rFonts w:ascii="Times New Roman" w:eastAsia="Times New Roman" w:hAnsi="Times New Roman" w:cs="Times New Roman"/>
          <w:sz w:val="20"/>
          <w:szCs w:val="20"/>
        </w:rPr>
        <w:t xml:space="preserve">total </w:t>
      </w:r>
      <w:r w:rsidRPr="00F77E23">
        <w:rPr>
          <w:rFonts w:ascii="Times New Roman" w:eastAsia="Times New Roman" w:hAnsi="Times New Roman" w:cs="Times New Roman"/>
          <w:sz w:val="20"/>
          <w:szCs w:val="20"/>
        </w:rPr>
        <w:t>sentence</w:t>
      </w:r>
      <w:r w:rsidR="002465AC" w:rsidRPr="00F77E23">
        <w:rPr>
          <w:rFonts w:ascii="Times New Roman" w:eastAsia="Times New Roman" w:hAnsi="Times New Roman" w:cs="Times New Roman"/>
          <w:sz w:val="20"/>
          <w:szCs w:val="20"/>
        </w:rPr>
        <w:t xml:space="preserve"> meted by the courts</w:t>
      </w:r>
      <w:r w:rsidRPr="00F77E23">
        <w:rPr>
          <w:rFonts w:ascii="Times New Roman" w:eastAsia="Times New Roman" w:hAnsi="Times New Roman" w:cs="Times New Roman"/>
          <w:sz w:val="20"/>
          <w:szCs w:val="20"/>
        </w:rPr>
        <w:t xml:space="preserve"> is proportionate to the </w:t>
      </w:r>
      <w:r w:rsidR="002465AC" w:rsidRPr="00F77E23">
        <w:rPr>
          <w:rFonts w:ascii="Times New Roman" w:eastAsia="Times New Roman" w:hAnsi="Times New Roman" w:cs="Times New Roman"/>
          <w:sz w:val="20"/>
          <w:szCs w:val="20"/>
        </w:rPr>
        <w:t xml:space="preserve">offender’s </w:t>
      </w:r>
      <w:r w:rsidRPr="00F77E23">
        <w:rPr>
          <w:rFonts w:ascii="Times New Roman" w:eastAsia="Times New Roman" w:hAnsi="Times New Roman" w:cs="Times New Roman"/>
          <w:sz w:val="20"/>
          <w:szCs w:val="20"/>
        </w:rPr>
        <w:t>overall criminality</w:t>
      </w:r>
      <w:r w:rsidR="002465AC" w:rsidRPr="00F77E23">
        <w:rPr>
          <w:rFonts w:ascii="Times New Roman" w:eastAsia="Times New Roman" w:hAnsi="Times New Roman" w:cs="Times New Roman"/>
          <w:sz w:val="20"/>
          <w:szCs w:val="20"/>
        </w:rPr>
        <w:t>,</w:t>
      </w:r>
      <w:r w:rsidRPr="00F77E23">
        <w:rPr>
          <w:rFonts w:ascii="Times New Roman" w:eastAsia="Times New Roman" w:hAnsi="Times New Roman" w:cs="Times New Roman"/>
          <w:sz w:val="20"/>
          <w:szCs w:val="20"/>
        </w:rPr>
        <w:t xml:space="preserve"> and </w:t>
      </w:r>
      <w:r w:rsidR="009B67A1" w:rsidRPr="00F77E23">
        <w:rPr>
          <w:rFonts w:ascii="Times New Roman" w:eastAsia="Times New Roman" w:hAnsi="Times New Roman" w:cs="Times New Roman"/>
          <w:sz w:val="20"/>
          <w:szCs w:val="20"/>
        </w:rPr>
        <w:t xml:space="preserve">is </w:t>
      </w:r>
      <w:r w:rsidRPr="00F77E23">
        <w:rPr>
          <w:rFonts w:ascii="Times New Roman" w:eastAsia="Times New Roman" w:hAnsi="Times New Roman" w:cs="Times New Roman"/>
          <w:sz w:val="20"/>
          <w:szCs w:val="20"/>
        </w:rPr>
        <w:t>not excessive.</w:t>
      </w:r>
    </w:p>
  </w:footnote>
  <w:footnote w:id="4">
    <w:p w14:paraId="203CB204" w14:textId="33BFA524" w:rsidR="00F77E23" w:rsidRPr="005B1D6A" w:rsidRDefault="00F77E23">
      <w:pPr>
        <w:pStyle w:val="FootnoteText"/>
        <w:rPr>
          <w:rFonts w:ascii="Times New Roman" w:hAnsi="Times New Roman" w:cs="Times New Roman"/>
        </w:rPr>
      </w:pPr>
      <w:r w:rsidRPr="005B1D6A">
        <w:rPr>
          <w:rStyle w:val="FootnoteReference"/>
          <w:rFonts w:ascii="Times New Roman" w:hAnsi="Times New Roman" w:cs="Times New Roman"/>
        </w:rPr>
        <w:footnoteRef/>
      </w:r>
      <w:r w:rsidRPr="005B1D6A">
        <w:rPr>
          <w:rFonts w:ascii="Times New Roman" w:hAnsi="Times New Roman" w:cs="Times New Roman"/>
        </w:rPr>
        <w:t xml:space="preserve"> Premeditation </w:t>
      </w:r>
      <w:r w:rsidR="00450E6E">
        <w:rPr>
          <w:rFonts w:ascii="Times New Roman" w:hAnsi="Times New Roman" w:cs="Times New Roman"/>
        </w:rPr>
        <w:t>invo</w:t>
      </w:r>
      <w:r w:rsidR="000C0C43">
        <w:rPr>
          <w:rFonts w:ascii="Times New Roman" w:hAnsi="Times New Roman" w:cs="Times New Roman"/>
        </w:rPr>
        <w:t>lves</w:t>
      </w:r>
      <w:r w:rsidR="00DE6CF4">
        <w:rPr>
          <w:rFonts w:ascii="Times New Roman" w:hAnsi="Times New Roman" w:cs="Times New Roman"/>
        </w:rPr>
        <w:t xml:space="preserve"> </w:t>
      </w:r>
      <w:r w:rsidRPr="005B1D6A">
        <w:rPr>
          <w:rFonts w:ascii="Times New Roman" w:hAnsi="Times New Roman" w:cs="Times New Roman"/>
        </w:rPr>
        <w:t>planning</w:t>
      </w:r>
      <w:r w:rsidR="005E7EDF">
        <w:rPr>
          <w:rFonts w:ascii="Times New Roman" w:hAnsi="Times New Roman" w:cs="Times New Roman"/>
        </w:rPr>
        <w:t xml:space="preserve"> for</w:t>
      </w:r>
      <w:r w:rsidRPr="005B1D6A">
        <w:rPr>
          <w:rFonts w:ascii="Times New Roman" w:hAnsi="Times New Roman" w:cs="Times New Roman"/>
        </w:rPr>
        <w:t xml:space="preserve"> an offence beforehand (</w:t>
      </w:r>
      <w:r w:rsidR="00997568">
        <w:rPr>
          <w:rFonts w:ascii="Times New Roman" w:hAnsi="Times New Roman" w:cs="Times New Roman"/>
        </w:rPr>
        <w:t xml:space="preserve">rather than </w:t>
      </w:r>
      <w:r w:rsidR="00013D66">
        <w:rPr>
          <w:rFonts w:ascii="Times New Roman" w:hAnsi="Times New Roman" w:cs="Times New Roman"/>
        </w:rPr>
        <w:t>com</w:t>
      </w:r>
      <w:r w:rsidR="00AC63E0">
        <w:rPr>
          <w:rFonts w:ascii="Times New Roman" w:hAnsi="Times New Roman" w:cs="Times New Roman"/>
        </w:rPr>
        <w:t>m</w:t>
      </w:r>
      <w:r w:rsidR="00013D66">
        <w:rPr>
          <w:rFonts w:ascii="Times New Roman" w:hAnsi="Times New Roman" w:cs="Times New Roman"/>
        </w:rPr>
        <w:t>i</w:t>
      </w:r>
      <w:r w:rsidR="00AC63E0">
        <w:rPr>
          <w:rFonts w:ascii="Times New Roman" w:hAnsi="Times New Roman" w:cs="Times New Roman"/>
        </w:rPr>
        <w:t>t</w:t>
      </w:r>
      <w:r w:rsidR="00013D66">
        <w:rPr>
          <w:rFonts w:ascii="Times New Roman" w:hAnsi="Times New Roman" w:cs="Times New Roman"/>
        </w:rPr>
        <w:t>ting</w:t>
      </w:r>
      <w:r w:rsidRPr="005B1D6A">
        <w:rPr>
          <w:rFonts w:ascii="Times New Roman" w:hAnsi="Times New Roman" w:cs="Times New Roman"/>
        </w:rPr>
        <w:t xml:space="preserve"> an act on the spur of the moment).</w:t>
      </w:r>
      <w:r w:rsidR="00AC63E0">
        <w:rPr>
          <w:rFonts w:ascii="Times New Roman" w:hAnsi="Times New Roman" w:cs="Times New Roman"/>
        </w:rPr>
        <w:t xml:space="preserve"> </w:t>
      </w:r>
      <w:r w:rsidR="00591DE6">
        <w:rPr>
          <w:rFonts w:ascii="Times New Roman" w:hAnsi="Times New Roman" w:cs="Times New Roman"/>
        </w:rPr>
        <w:t>Sentences for crimes which are premeditated may be heavier than</w:t>
      </w:r>
      <w:r w:rsidR="008B0D0F">
        <w:rPr>
          <w:rFonts w:ascii="Times New Roman" w:hAnsi="Times New Roman" w:cs="Times New Roman"/>
        </w:rPr>
        <w:t xml:space="preserve"> </w:t>
      </w:r>
      <w:r w:rsidR="008A49B2">
        <w:rPr>
          <w:rFonts w:ascii="Times New Roman" w:hAnsi="Times New Roman" w:cs="Times New Roman"/>
        </w:rPr>
        <w:t>sentences</w:t>
      </w:r>
      <w:r w:rsidR="008B0D0F">
        <w:rPr>
          <w:rFonts w:ascii="Times New Roman" w:hAnsi="Times New Roman" w:cs="Times New Roman"/>
        </w:rPr>
        <w:t xml:space="preserve"> for </w:t>
      </w:r>
      <w:r w:rsidR="00591DE6">
        <w:rPr>
          <w:rFonts w:ascii="Times New Roman" w:hAnsi="Times New Roman" w:cs="Times New Roman"/>
        </w:rPr>
        <w:t xml:space="preserve">crimes which are not premeditated. </w:t>
      </w:r>
    </w:p>
  </w:footnote>
  <w:footnote w:id="5">
    <w:p w14:paraId="2B1B8DE0" w14:textId="77777777" w:rsidR="00B92416" w:rsidRPr="00F77E23" w:rsidRDefault="00B92416" w:rsidP="008177A2">
      <w:pPr>
        <w:pStyle w:val="FootnoteText"/>
        <w:jc w:val="both"/>
        <w:rPr>
          <w:rFonts w:ascii="Times New Roman" w:hAnsi="Times New Roman" w:cs="Times New Roman"/>
          <w:szCs w:val="20"/>
          <w:lang w:val="en-US"/>
        </w:rPr>
      </w:pPr>
      <w:r w:rsidRPr="00F77E23">
        <w:rPr>
          <w:rStyle w:val="FootnoteReference"/>
          <w:rFonts w:ascii="Times New Roman" w:hAnsi="Times New Roman" w:cs="Times New Roman"/>
          <w:szCs w:val="20"/>
        </w:rPr>
        <w:footnoteRef/>
      </w:r>
      <w:r w:rsidRPr="00F77E23">
        <w:rPr>
          <w:rFonts w:ascii="Times New Roman" w:hAnsi="Times New Roman" w:cs="Times New Roman"/>
          <w:szCs w:val="20"/>
        </w:rPr>
        <w:t xml:space="preserve"> This includes serious levels of violence paired with perversities, victims with high degrees of vulnerability, and a compelling public interest to deter potential offenders and protect the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CDA1" w14:textId="77777777" w:rsidR="00C86D9F" w:rsidRDefault="00C86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ED5"/>
    <w:multiLevelType w:val="hybridMultilevel"/>
    <w:tmpl w:val="CEA8B2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D2759"/>
    <w:multiLevelType w:val="hybridMultilevel"/>
    <w:tmpl w:val="729E71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213B3"/>
    <w:multiLevelType w:val="hybridMultilevel"/>
    <w:tmpl w:val="3A949DC2"/>
    <w:lvl w:ilvl="0" w:tplc="36EA0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D33D2"/>
    <w:multiLevelType w:val="hybridMultilevel"/>
    <w:tmpl w:val="CEA8B2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77474"/>
    <w:multiLevelType w:val="multilevel"/>
    <w:tmpl w:val="91B6987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0C734546"/>
    <w:multiLevelType w:val="multilevel"/>
    <w:tmpl w:val="AD565672"/>
    <w:styleLink w:val="WWNum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6" w15:restartNumberingAfterBreak="0">
    <w:nsid w:val="14FA794E"/>
    <w:multiLevelType w:val="hybridMultilevel"/>
    <w:tmpl w:val="C5BA2592"/>
    <w:lvl w:ilvl="0" w:tplc="2FD8F6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3081E"/>
    <w:multiLevelType w:val="hybridMultilevel"/>
    <w:tmpl w:val="E794B11C"/>
    <w:lvl w:ilvl="0" w:tplc="2BBA07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F3FE3"/>
    <w:multiLevelType w:val="multilevel"/>
    <w:tmpl w:val="4A8EA87C"/>
    <w:styleLink w:val="WWNum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9" w15:restartNumberingAfterBreak="0">
    <w:nsid w:val="26AC529E"/>
    <w:multiLevelType w:val="multilevel"/>
    <w:tmpl w:val="5DCCCE1C"/>
    <w:styleLink w:val="WWNum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10" w15:restartNumberingAfterBreak="0">
    <w:nsid w:val="27F6454E"/>
    <w:multiLevelType w:val="multilevel"/>
    <w:tmpl w:val="FFB2F972"/>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15:restartNumberingAfterBreak="0">
    <w:nsid w:val="29921134"/>
    <w:multiLevelType w:val="multilevel"/>
    <w:tmpl w:val="45B4753E"/>
    <w:styleLink w:val="WWNum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12" w15:restartNumberingAfterBreak="0">
    <w:nsid w:val="385302A7"/>
    <w:multiLevelType w:val="multilevel"/>
    <w:tmpl w:val="F6FCD016"/>
    <w:styleLink w:val="WWNum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13" w15:restartNumberingAfterBreak="0">
    <w:nsid w:val="4F471136"/>
    <w:multiLevelType w:val="hybridMultilevel"/>
    <w:tmpl w:val="70085D62"/>
    <w:lvl w:ilvl="0" w:tplc="1D1642B4">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E61C4"/>
    <w:multiLevelType w:val="hybridMultilevel"/>
    <w:tmpl w:val="A8902CDC"/>
    <w:lvl w:ilvl="0" w:tplc="2FD8F6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17976"/>
    <w:multiLevelType w:val="multilevel"/>
    <w:tmpl w:val="ED1276E2"/>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16" w15:restartNumberingAfterBreak="0">
    <w:nsid w:val="6CEC64D6"/>
    <w:multiLevelType w:val="multilevel"/>
    <w:tmpl w:val="75F82658"/>
    <w:styleLink w:val="WWNum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17" w15:restartNumberingAfterBreak="0">
    <w:nsid w:val="75422623"/>
    <w:multiLevelType w:val="hybridMultilevel"/>
    <w:tmpl w:val="7D5824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AA5C21"/>
    <w:multiLevelType w:val="multilevel"/>
    <w:tmpl w:val="5CC444DC"/>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15:restartNumberingAfterBreak="0">
    <w:nsid w:val="793074F0"/>
    <w:multiLevelType w:val="hybridMultilevel"/>
    <w:tmpl w:val="3A949DC2"/>
    <w:lvl w:ilvl="0" w:tplc="36EA0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6E7707"/>
    <w:multiLevelType w:val="hybridMultilevel"/>
    <w:tmpl w:val="729E71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5"/>
  </w:num>
  <w:num w:numId="5">
    <w:abstractNumId w:val="16"/>
  </w:num>
  <w:num w:numId="6">
    <w:abstractNumId w:val="11"/>
  </w:num>
  <w:num w:numId="7">
    <w:abstractNumId w:val="12"/>
  </w:num>
  <w:num w:numId="8">
    <w:abstractNumId w:val="15"/>
    <w:lvlOverride w:ilvl="0">
      <w:startOverride w:val="1"/>
    </w:lvlOverride>
  </w:num>
  <w:num w:numId="9">
    <w:abstractNumId w:val="12"/>
    <w:lvlOverride w:ilvl="0">
      <w:startOverride w:val="1"/>
    </w:lvlOverride>
  </w:num>
  <w:num w:numId="10">
    <w:abstractNumId w:val="16"/>
    <w:lvlOverride w:ilvl="0">
      <w:startOverride w:val="1"/>
    </w:lvlOverride>
  </w:num>
  <w:num w:numId="11">
    <w:abstractNumId w:val="9"/>
    <w:lvlOverride w:ilvl="0">
      <w:startOverride w:val="2"/>
    </w:lvlOverride>
  </w:num>
  <w:num w:numId="12">
    <w:abstractNumId w:val="5"/>
    <w:lvlOverride w:ilvl="0">
      <w:startOverride w:val="1"/>
    </w:lvlOverride>
  </w:num>
  <w:num w:numId="13">
    <w:abstractNumId w:val="8"/>
    <w:lvlOverride w:ilvl="0">
      <w:startOverride w:val="1"/>
    </w:lvlOverride>
  </w:num>
  <w:num w:numId="14">
    <w:abstractNumId w:val="11"/>
    <w:lvlOverride w:ilvl="0">
      <w:startOverride w:val="2"/>
    </w:lvlOverride>
  </w:num>
  <w:num w:numId="15">
    <w:abstractNumId w:val="12"/>
    <w:lvlOverride w:ilvl="0">
      <w:startOverride w:val="1"/>
      <w:lvl w:ilvl="0">
        <w:start w:val="1"/>
        <w:numFmt w:val="upperRoman"/>
        <w:lvlText w:val="%1."/>
        <w:lvlJc w:val="right"/>
        <w:pPr>
          <w:ind w:left="720" w:hanging="360"/>
        </w:pPr>
        <w:rPr>
          <w:rFonts w:ascii="Times New Roman" w:hAnsi="Times New Roman"/>
          <w:sz w:val="24"/>
          <w:u w:val="none"/>
        </w:rPr>
      </w:lvl>
    </w:lvlOverride>
  </w:num>
  <w:num w:numId="16">
    <w:abstractNumId w:val="5"/>
    <w:lvlOverride w:ilvl="0">
      <w:startOverride w:val="1"/>
    </w:lvlOverride>
  </w:num>
  <w:num w:numId="17">
    <w:abstractNumId w:val="16"/>
    <w:lvlOverride w:ilvl="0">
      <w:startOverride w:val="1"/>
    </w:lvlOverride>
  </w:num>
  <w:num w:numId="18">
    <w:abstractNumId w:val="12"/>
    <w:lvlOverride w:ilvl="0">
      <w:startOverride w:val="1"/>
    </w:lvlOverride>
  </w:num>
  <w:num w:numId="19">
    <w:abstractNumId w:val="18"/>
    <w:lvlOverride w:ilvl="0">
      <w:startOverride w:val="1"/>
    </w:lvlOverride>
  </w:num>
  <w:num w:numId="20">
    <w:abstractNumId w:val="6"/>
    <w:lvlOverride w:ilvl="0">
      <w:startOverride w:val="1"/>
    </w:lvlOverride>
  </w:num>
  <w:num w:numId="21">
    <w:abstractNumId w:val="4"/>
  </w:num>
  <w:num w:numId="22">
    <w:abstractNumId w:val="10"/>
  </w:num>
  <w:num w:numId="23">
    <w:abstractNumId w:val="18"/>
  </w:num>
  <w:num w:numId="24">
    <w:abstractNumId w:val="13"/>
  </w:num>
  <w:num w:numId="25">
    <w:abstractNumId w:val="6"/>
  </w:num>
  <w:num w:numId="26">
    <w:abstractNumId w:val="3"/>
  </w:num>
  <w:num w:numId="27">
    <w:abstractNumId w:val="0"/>
  </w:num>
  <w:num w:numId="28">
    <w:abstractNumId w:val="14"/>
  </w:num>
  <w:num w:numId="29">
    <w:abstractNumId w:val="20"/>
  </w:num>
  <w:num w:numId="30">
    <w:abstractNumId w:val="7"/>
  </w:num>
  <w:num w:numId="31">
    <w:abstractNumId w:val="1"/>
  </w:num>
  <w:num w:numId="32">
    <w:abstractNumId w:val="17"/>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BD"/>
    <w:rsid w:val="000007D7"/>
    <w:rsid w:val="000036FA"/>
    <w:rsid w:val="00007C45"/>
    <w:rsid w:val="0001294D"/>
    <w:rsid w:val="00013D66"/>
    <w:rsid w:val="000157F9"/>
    <w:rsid w:val="00016390"/>
    <w:rsid w:val="00026CB6"/>
    <w:rsid w:val="000312A9"/>
    <w:rsid w:val="00031586"/>
    <w:rsid w:val="000362B3"/>
    <w:rsid w:val="000370E9"/>
    <w:rsid w:val="00037791"/>
    <w:rsid w:val="00037A76"/>
    <w:rsid w:val="00040D7A"/>
    <w:rsid w:val="000445B6"/>
    <w:rsid w:val="00045331"/>
    <w:rsid w:val="000453AE"/>
    <w:rsid w:val="00046D47"/>
    <w:rsid w:val="00047F40"/>
    <w:rsid w:val="00056287"/>
    <w:rsid w:val="0006500C"/>
    <w:rsid w:val="00065901"/>
    <w:rsid w:val="000678A0"/>
    <w:rsid w:val="000718E4"/>
    <w:rsid w:val="00073C04"/>
    <w:rsid w:val="0007413A"/>
    <w:rsid w:val="00076C5D"/>
    <w:rsid w:val="00077403"/>
    <w:rsid w:val="00077E3C"/>
    <w:rsid w:val="000828AC"/>
    <w:rsid w:val="00085008"/>
    <w:rsid w:val="00087968"/>
    <w:rsid w:val="0009283C"/>
    <w:rsid w:val="00093CC2"/>
    <w:rsid w:val="00094F46"/>
    <w:rsid w:val="000968A7"/>
    <w:rsid w:val="000A54EF"/>
    <w:rsid w:val="000A6621"/>
    <w:rsid w:val="000B16B7"/>
    <w:rsid w:val="000B1B6B"/>
    <w:rsid w:val="000B270C"/>
    <w:rsid w:val="000B2976"/>
    <w:rsid w:val="000B7682"/>
    <w:rsid w:val="000C0C43"/>
    <w:rsid w:val="000C314E"/>
    <w:rsid w:val="000C3E5B"/>
    <w:rsid w:val="000C70ED"/>
    <w:rsid w:val="000D0A1D"/>
    <w:rsid w:val="000D3416"/>
    <w:rsid w:val="000D4DF1"/>
    <w:rsid w:val="000D6702"/>
    <w:rsid w:val="000E285D"/>
    <w:rsid w:val="000F0B64"/>
    <w:rsid w:val="000F663E"/>
    <w:rsid w:val="000F732A"/>
    <w:rsid w:val="001016C4"/>
    <w:rsid w:val="0010188C"/>
    <w:rsid w:val="00101A58"/>
    <w:rsid w:val="00104FCF"/>
    <w:rsid w:val="001057F6"/>
    <w:rsid w:val="00113392"/>
    <w:rsid w:val="00115A0F"/>
    <w:rsid w:val="0011634E"/>
    <w:rsid w:val="00120E6B"/>
    <w:rsid w:val="00122B8C"/>
    <w:rsid w:val="0012346A"/>
    <w:rsid w:val="00123F57"/>
    <w:rsid w:val="001242AD"/>
    <w:rsid w:val="00132E12"/>
    <w:rsid w:val="00135B8D"/>
    <w:rsid w:val="00142B06"/>
    <w:rsid w:val="00152B7E"/>
    <w:rsid w:val="00154C8E"/>
    <w:rsid w:val="00155E1E"/>
    <w:rsid w:val="00156966"/>
    <w:rsid w:val="0015750E"/>
    <w:rsid w:val="00160A2C"/>
    <w:rsid w:val="00161A6C"/>
    <w:rsid w:val="00163988"/>
    <w:rsid w:val="00164040"/>
    <w:rsid w:val="00166BE6"/>
    <w:rsid w:val="00167214"/>
    <w:rsid w:val="00167CDD"/>
    <w:rsid w:val="00175967"/>
    <w:rsid w:val="00175C82"/>
    <w:rsid w:val="00176049"/>
    <w:rsid w:val="00176180"/>
    <w:rsid w:val="00183EAE"/>
    <w:rsid w:val="00184CCB"/>
    <w:rsid w:val="00187ED3"/>
    <w:rsid w:val="00191B3A"/>
    <w:rsid w:val="001951FB"/>
    <w:rsid w:val="00195ACE"/>
    <w:rsid w:val="001A0D55"/>
    <w:rsid w:val="001A6922"/>
    <w:rsid w:val="001B32B8"/>
    <w:rsid w:val="001C283B"/>
    <w:rsid w:val="001C2D2C"/>
    <w:rsid w:val="001C3491"/>
    <w:rsid w:val="001D0328"/>
    <w:rsid w:val="001D0376"/>
    <w:rsid w:val="001D06E8"/>
    <w:rsid w:val="001D262F"/>
    <w:rsid w:val="001D2643"/>
    <w:rsid w:val="001D36C8"/>
    <w:rsid w:val="001D38D5"/>
    <w:rsid w:val="001D3B3A"/>
    <w:rsid w:val="001D602C"/>
    <w:rsid w:val="001D6763"/>
    <w:rsid w:val="001E0EC7"/>
    <w:rsid w:val="001E2135"/>
    <w:rsid w:val="001E2D88"/>
    <w:rsid w:val="001E4EF6"/>
    <w:rsid w:val="001E5F60"/>
    <w:rsid w:val="001F6CB9"/>
    <w:rsid w:val="001F7F25"/>
    <w:rsid w:val="00201A52"/>
    <w:rsid w:val="00203C78"/>
    <w:rsid w:val="00206448"/>
    <w:rsid w:val="00206A5F"/>
    <w:rsid w:val="00210D89"/>
    <w:rsid w:val="002120F2"/>
    <w:rsid w:val="0021521D"/>
    <w:rsid w:val="0022017C"/>
    <w:rsid w:val="00220C91"/>
    <w:rsid w:val="0022291D"/>
    <w:rsid w:val="002253B3"/>
    <w:rsid w:val="00225794"/>
    <w:rsid w:val="00227ACC"/>
    <w:rsid w:val="00231659"/>
    <w:rsid w:val="002331A5"/>
    <w:rsid w:val="0024395D"/>
    <w:rsid w:val="002465AC"/>
    <w:rsid w:val="00250185"/>
    <w:rsid w:val="00253C56"/>
    <w:rsid w:val="00253F67"/>
    <w:rsid w:val="00255F49"/>
    <w:rsid w:val="002565D2"/>
    <w:rsid w:val="0026019F"/>
    <w:rsid w:val="002606AF"/>
    <w:rsid w:val="002653BC"/>
    <w:rsid w:val="002662D7"/>
    <w:rsid w:val="002709F4"/>
    <w:rsid w:val="00271311"/>
    <w:rsid w:val="002768AF"/>
    <w:rsid w:val="00277300"/>
    <w:rsid w:val="0027778E"/>
    <w:rsid w:val="00277905"/>
    <w:rsid w:val="00281F82"/>
    <w:rsid w:val="00282291"/>
    <w:rsid w:val="00282E04"/>
    <w:rsid w:val="00283AEA"/>
    <w:rsid w:val="002857F9"/>
    <w:rsid w:val="00286459"/>
    <w:rsid w:val="00287648"/>
    <w:rsid w:val="00290F98"/>
    <w:rsid w:val="0029268D"/>
    <w:rsid w:val="00293B32"/>
    <w:rsid w:val="0029476E"/>
    <w:rsid w:val="002A46A3"/>
    <w:rsid w:val="002A7CED"/>
    <w:rsid w:val="002B2323"/>
    <w:rsid w:val="002B3D67"/>
    <w:rsid w:val="002B458B"/>
    <w:rsid w:val="002B4A9A"/>
    <w:rsid w:val="002B6C1E"/>
    <w:rsid w:val="002C2297"/>
    <w:rsid w:val="002D304F"/>
    <w:rsid w:val="002D3B3C"/>
    <w:rsid w:val="002D462E"/>
    <w:rsid w:val="002D60E3"/>
    <w:rsid w:val="002D7510"/>
    <w:rsid w:val="002D7DDB"/>
    <w:rsid w:val="002E03A6"/>
    <w:rsid w:val="002E63C0"/>
    <w:rsid w:val="002F0FE3"/>
    <w:rsid w:val="002F100C"/>
    <w:rsid w:val="002F4A3D"/>
    <w:rsid w:val="002F6331"/>
    <w:rsid w:val="002F6E44"/>
    <w:rsid w:val="00302EDA"/>
    <w:rsid w:val="00311AC9"/>
    <w:rsid w:val="00320CA6"/>
    <w:rsid w:val="00321B8E"/>
    <w:rsid w:val="00325B44"/>
    <w:rsid w:val="00327BAC"/>
    <w:rsid w:val="00330B7D"/>
    <w:rsid w:val="003310EA"/>
    <w:rsid w:val="003413A9"/>
    <w:rsid w:val="00341D0E"/>
    <w:rsid w:val="003425B1"/>
    <w:rsid w:val="00344CE7"/>
    <w:rsid w:val="0034729E"/>
    <w:rsid w:val="00351233"/>
    <w:rsid w:val="00352798"/>
    <w:rsid w:val="00354F77"/>
    <w:rsid w:val="00356E4B"/>
    <w:rsid w:val="00357B4C"/>
    <w:rsid w:val="003621B8"/>
    <w:rsid w:val="003625FF"/>
    <w:rsid w:val="00362725"/>
    <w:rsid w:val="00365EB0"/>
    <w:rsid w:val="003704FA"/>
    <w:rsid w:val="00370B25"/>
    <w:rsid w:val="0037207E"/>
    <w:rsid w:val="0037392D"/>
    <w:rsid w:val="00375334"/>
    <w:rsid w:val="00376323"/>
    <w:rsid w:val="0038101E"/>
    <w:rsid w:val="003812DA"/>
    <w:rsid w:val="00385318"/>
    <w:rsid w:val="0038547F"/>
    <w:rsid w:val="003855B3"/>
    <w:rsid w:val="00387E41"/>
    <w:rsid w:val="00393882"/>
    <w:rsid w:val="00394FBF"/>
    <w:rsid w:val="00396A39"/>
    <w:rsid w:val="003A0DD9"/>
    <w:rsid w:val="003A5381"/>
    <w:rsid w:val="003A635A"/>
    <w:rsid w:val="003A7635"/>
    <w:rsid w:val="003B1D73"/>
    <w:rsid w:val="003B2B87"/>
    <w:rsid w:val="003B2F88"/>
    <w:rsid w:val="003B32D5"/>
    <w:rsid w:val="003B3956"/>
    <w:rsid w:val="003B5D91"/>
    <w:rsid w:val="003B7E2A"/>
    <w:rsid w:val="003C167F"/>
    <w:rsid w:val="003C168A"/>
    <w:rsid w:val="003C3F0A"/>
    <w:rsid w:val="003C7816"/>
    <w:rsid w:val="003D125D"/>
    <w:rsid w:val="003D2762"/>
    <w:rsid w:val="003D2ECA"/>
    <w:rsid w:val="003D7E60"/>
    <w:rsid w:val="003E451D"/>
    <w:rsid w:val="003E4978"/>
    <w:rsid w:val="003E5A5B"/>
    <w:rsid w:val="003E6A0C"/>
    <w:rsid w:val="003E7A59"/>
    <w:rsid w:val="003F127C"/>
    <w:rsid w:val="003F1BB3"/>
    <w:rsid w:val="003F27A4"/>
    <w:rsid w:val="003F650F"/>
    <w:rsid w:val="00403303"/>
    <w:rsid w:val="00403B86"/>
    <w:rsid w:val="00404145"/>
    <w:rsid w:val="00405FB6"/>
    <w:rsid w:val="00406205"/>
    <w:rsid w:val="0041223D"/>
    <w:rsid w:val="00413154"/>
    <w:rsid w:val="00416C4C"/>
    <w:rsid w:val="00422896"/>
    <w:rsid w:val="004252A7"/>
    <w:rsid w:val="00425771"/>
    <w:rsid w:val="00431682"/>
    <w:rsid w:val="00431929"/>
    <w:rsid w:val="00434A53"/>
    <w:rsid w:val="00434C41"/>
    <w:rsid w:val="00436724"/>
    <w:rsid w:val="00436B01"/>
    <w:rsid w:val="00436C85"/>
    <w:rsid w:val="00436D9C"/>
    <w:rsid w:val="004377EF"/>
    <w:rsid w:val="00437AA2"/>
    <w:rsid w:val="00440DDD"/>
    <w:rsid w:val="00445B7D"/>
    <w:rsid w:val="00446726"/>
    <w:rsid w:val="00450E6E"/>
    <w:rsid w:val="00451709"/>
    <w:rsid w:val="00451E06"/>
    <w:rsid w:val="004544A3"/>
    <w:rsid w:val="004563E6"/>
    <w:rsid w:val="00456C7D"/>
    <w:rsid w:val="00461A2D"/>
    <w:rsid w:val="00462FCE"/>
    <w:rsid w:val="0047196E"/>
    <w:rsid w:val="0047425A"/>
    <w:rsid w:val="00475394"/>
    <w:rsid w:val="004754AC"/>
    <w:rsid w:val="0048121F"/>
    <w:rsid w:val="004820F9"/>
    <w:rsid w:val="00484EEA"/>
    <w:rsid w:val="00486E4C"/>
    <w:rsid w:val="004906F5"/>
    <w:rsid w:val="00493D65"/>
    <w:rsid w:val="00497475"/>
    <w:rsid w:val="004A12DA"/>
    <w:rsid w:val="004A305A"/>
    <w:rsid w:val="004A4FCA"/>
    <w:rsid w:val="004B13FD"/>
    <w:rsid w:val="004B14D3"/>
    <w:rsid w:val="004B3489"/>
    <w:rsid w:val="004B35FB"/>
    <w:rsid w:val="004B60B7"/>
    <w:rsid w:val="004B636F"/>
    <w:rsid w:val="004B6652"/>
    <w:rsid w:val="004B698C"/>
    <w:rsid w:val="004B6F78"/>
    <w:rsid w:val="004B7C16"/>
    <w:rsid w:val="004C06B4"/>
    <w:rsid w:val="004C07EF"/>
    <w:rsid w:val="004C7C94"/>
    <w:rsid w:val="004D201A"/>
    <w:rsid w:val="004D5948"/>
    <w:rsid w:val="004D5EFF"/>
    <w:rsid w:val="004E286F"/>
    <w:rsid w:val="004E4882"/>
    <w:rsid w:val="004E6968"/>
    <w:rsid w:val="004F028C"/>
    <w:rsid w:val="004F2E5B"/>
    <w:rsid w:val="004F3561"/>
    <w:rsid w:val="004F399A"/>
    <w:rsid w:val="00501022"/>
    <w:rsid w:val="005037E6"/>
    <w:rsid w:val="005051C3"/>
    <w:rsid w:val="005111EE"/>
    <w:rsid w:val="005215CF"/>
    <w:rsid w:val="00522F1E"/>
    <w:rsid w:val="00532B33"/>
    <w:rsid w:val="0053377D"/>
    <w:rsid w:val="00534B28"/>
    <w:rsid w:val="00537095"/>
    <w:rsid w:val="00542818"/>
    <w:rsid w:val="005434EB"/>
    <w:rsid w:val="0054579D"/>
    <w:rsid w:val="005460B1"/>
    <w:rsid w:val="00546815"/>
    <w:rsid w:val="00551B6E"/>
    <w:rsid w:val="00553EBD"/>
    <w:rsid w:val="005542C9"/>
    <w:rsid w:val="0055658C"/>
    <w:rsid w:val="00561DAB"/>
    <w:rsid w:val="00561F40"/>
    <w:rsid w:val="00563033"/>
    <w:rsid w:val="005647DC"/>
    <w:rsid w:val="00565C2B"/>
    <w:rsid w:val="00567F28"/>
    <w:rsid w:val="00571FCA"/>
    <w:rsid w:val="00584A4C"/>
    <w:rsid w:val="005857DC"/>
    <w:rsid w:val="00586975"/>
    <w:rsid w:val="00587893"/>
    <w:rsid w:val="00587E83"/>
    <w:rsid w:val="00591DE6"/>
    <w:rsid w:val="00592D50"/>
    <w:rsid w:val="0059523E"/>
    <w:rsid w:val="0059731F"/>
    <w:rsid w:val="005A2734"/>
    <w:rsid w:val="005A3028"/>
    <w:rsid w:val="005A60A6"/>
    <w:rsid w:val="005B098F"/>
    <w:rsid w:val="005B1D3A"/>
    <w:rsid w:val="005B1D6A"/>
    <w:rsid w:val="005B1FE4"/>
    <w:rsid w:val="005B5147"/>
    <w:rsid w:val="005C27A7"/>
    <w:rsid w:val="005C2EDB"/>
    <w:rsid w:val="005C4B38"/>
    <w:rsid w:val="005C6CF0"/>
    <w:rsid w:val="005D3217"/>
    <w:rsid w:val="005D5B15"/>
    <w:rsid w:val="005E0C32"/>
    <w:rsid w:val="005E1B92"/>
    <w:rsid w:val="005E45F3"/>
    <w:rsid w:val="005E56C7"/>
    <w:rsid w:val="005E7EDF"/>
    <w:rsid w:val="005F0347"/>
    <w:rsid w:val="005F09EC"/>
    <w:rsid w:val="005F0A4F"/>
    <w:rsid w:val="005F5229"/>
    <w:rsid w:val="005F60B5"/>
    <w:rsid w:val="00600030"/>
    <w:rsid w:val="00600A87"/>
    <w:rsid w:val="00601423"/>
    <w:rsid w:val="00604298"/>
    <w:rsid w:val="006047E7"/>
    <w:rsid w:val="00606A6C"/>
    <w:rsid w:val="006071D2"/>
    <w:rsid w:val="0061009D"/>
    <w:rsid w:val="00611170"/>
    <w:rsid w:val="00621B09"/>
    <w:rsid w:val="00623DE8"/>
    <w:rsid w:val="006247C2"/>
    <w:rsid w:val="0062593B"/>
    <w:rsid w:val="006266BD"/>
    <w:rsid w:val="00633C38"/>
    <w:rsid w:val="0063573B"/>
    <w:rsid w:val="00640012"/>
    <w:rsid w:val="006418CB"/>
    <w:rsid w:val="00643FA4"/>
    <w:rsid w:val="00647340"/>
    <w:rsid w:val="00656DF0"/>
    <w:rsid w:val="00656F9A"/>
    <w:rsid w:val="00660F85"/>
    <w:rsid w:val="00661E99"/>
    <w:rsid w:val="006620EF"/>
    <w:rsid w:val="00662A5A"/>
    <w:rsid w:val="00662C46"/>
    <w:rsid w:val="0066549B"/>
    <w:rsid w:val="0067000A"/>
    <w:rsid w:val="006714CD"/>
    <w:rsid w:val="00677653"/>
    <w:rsid w:val="00680956"/>
    <w:rsid w:val="00694434"/>
    <w:rsid w:val="00694531"/>
    <w:rsid w:val="006A0C51"/>
    <w:rsid w:val="006A42EA"/>
    <w:rsid w:val="006A50BA"/>
    <w:rsid w:val="006A6245"/>
    <w:rsid w:val="006A68C4"/>
    <w:rsid w:val="006A6FC0"/>
    <w:rsid w:val="006B34D1"/>
    <w:rsid w:val="006B6402"/>
    <w:rsid w:val="006C369E"/>
    <w:rsid w:val="006C6415"/>
    <w:rsid w:val="006D1968"/>
    <w:rsid w:val="006D4E84"/>
    <w:rsid w:val="006D5D0E"/>
    <w:rsid w:val="006D719A"/>
    <w:rsid w:val="006E1A2C"/>
    <w:rsid w:val="006E3E9E"/>
    <w:rsid w:val="006E506D"/>
    <w:rsid w:val="006F3BD6"/>
    <w:rsid w:val="006F4CA1"/>
    <w:rsid w:val="006F4FFA"/>
    <w:rsid w:val="006F6AAC"/>
    <w:rsid w:val="00700EE1"/>
    <w:rsid w:val="00703B6C"/>
    <w:rsid w:val="007049C6"/>
    <w:rsid w:val="00721B2C"/>
    <w:rsid w:val="00721EF0"/>
    <w:rsid w:val="00725917"/>
    <w:rsid w:val="007260F6"/>
    <w:rsid w:val="0072657E"/>
    <w:rsid w:val="0072690A"/>
    <w:rsid w:val="007279B8"/>
    <w:rsid w:val="007332BA"/>
    <w:rsid w:val="00733FDE"/>
    <w:rsid w:val="007366A8"/>
    <w:rsid w:val="00740F9E"/>
    <w:rsid w:val="00741320"/>
    <w:rsid w:val="00741667"/>
    <w:rsid w:val="00742864"/>
    <w:rsid w:val="00743ADF"/>
    <w:rsid w:val="00750228"/>
    <w:rsid w:val="0075069D"/>
    <w:rsid w:val="007525D6"/>
    <w:rsid w:val="007603CE"/>
    <w:rsid w:val="00763FDD"/>
    <w:rsid w:val="00766072"/>
    <w:rsid w:val="00767313"/>
    <w:rsid w:val="007705CB"/>
    <w:rsid w:val="00771494"/>
    <w:rsid w:val="00773F24"/>
    <w:rsid w:val="00782837"/>
    <w:rsid w:val="00782D41"/>
    <w:rsid w:val="00783CFF"/>
    <w:rsid w:val="00783E7D"/>
    <w:rsid w:val="00783F7F"/>
    <w:rsid w:val="00786E6E"/>
    <w:rsid w:val="007904CD"/>
    <w:rsid w:val="0079347F"/>
    <w:rsid w:val="00794A5B"/>
    <w:rsid w:val="007A443F"/>
    <w:rsid w:val="007A7BE7"/>
    <w:rsid w:val="007A7F05"/>
    <w:rsid w:val="007B0726"/>
    <w:rsid w:val="007B3B6F"/>
    <w:rsid w:val="007B6EFA"/>
    <w:rsid w:val="007C1ED4"/>
    <w:rsid w:val="007C292D"/>
    <w:rsid w:val="007C31D6"/>
    <w:rsid w:val="007C482E"/>
    <w:rsid w:val="007C55B2"/>
    <w:rsid w:val="007C5849"/>
    <w:rsid w:val="007C5F99"/>
    <w:rsid w:val="007C6649"/>
    <w:rsid w:val="007D6AB8"/>
    <w:rsid w:val="007E3508"/>
    <w:rsid w:val="007E6ABF"/>
    <w:rsid w:val="007E73E0"/>
    <w:rsid w:val="007F3F02"/>
    <w:rsid w:val="007F5BC4"/>
    <w:rsid w:val="00800E50"/>
    <w:rsid w:val="00802433"/>
    <w:rsid w:val="008024A4"/>
    <w:rsid w:val="008062B6"/>
    <w:rsid w:val="00806745"/>
    <w:rsid w:val="00807DDE"/>
    <w:rsid w:val="00814ADA"/>
    <w:rsid w:val="0081519A"/>
    <w:rsid w:val="00815E80"/>
    <w:rsid w:val="008177A2"/>
    <w:rsid w:val="0082022C"/>
    <w:rsid w:val="008218DD"/>
    <w:rsid w:val="00822FCD"/>
    <w:rsid w:val="00825666"/>
    <w:rsid w:val="008271E3"/>
    <w:rsid w:val="0083033F"/>
    <w:rsid w:val="0083305D"/>
    <w:rsid w:val="00835494"/>
    <w:rsid w:val="00836660"/>
    <w:rsid w:val="00836955"/>
    <w:rsid w:val="00844497"/>
    <w:rsid w:val="00851A22"/>
    <w:rsid w:val="0085497E"/>
    <w:rsid w:val="00855FA2"/>
    <w:rsid w:val="00856B1C"/>
    <w:rsid w:val="00857C2C"/>
    <w:rsid w:val="00857DDB"/>
    <w:rsid w:val="0086035D"/>
    <w:rsid w:val="008603BE"/>
    <w:rsid w:val="00866C2B"/>
    <w:rsid w:val="00866F7A"/>
    <w:rsid w:val="00872682"/>
    <w:rsid w:val="00876D7D"/>
    <w:rsid w:val="00881884"/>
    <w:rsid w:val="0088320A"/>
    <w:rsid w:val="0088451E"/>
    <w:rsid w:val="0088571D"/>
    <w:rsid w:val="00886D58"/>
    <w:rsid w:val="00887E89"/>
    <w:rsid w:val="00891473"/>
    <w:rsid w:val="008918F4"/>
    <w:rsid w:val="00893E41"/>
    <w:rsid w:val="00896AEC"/>
    <w:rsid w:val="00896DDF"/>
    <w:rsid w:val="00897871"/>
    <w:rsid w:val="008A2A83"/>
    <w:rsid w:val="008A34B0"/>
    <w:rsid w:val="008A49B2"/>
    <w:rsid w:val="008A6B1D"/>
    <w:rsid w:val="008A7A5B"/>
    <w:rsid w:val="008B0915"/>
    <w:rsid w:val="008B0D0F"/>
    <w:rsid w:val="008B5CBE"/>
    <w:rsid w:val="008B7F9F"/>
    <w:rsid w:val="008C5CC4"/>
    <w:rsid w:val="008D2396"/>
    <w:rsid w:val="008D6E4A"/>
    <w:rsid w:val="008E3C0A"/>
    <w:rsid w:val="008E3DF5"/>
    <w:rsid w:val="008F0180"/>
    <w:rsid w:val="008F3BA6"/>
    <w:rsid w:val="008F4CCA"/>
    <w:rsid w:val="008F6CC6"/>
    <w:rsid w:val="00902204"/>
    <w:rsid w:val="0090393C"/>
    <w:rsid w:val="00910B2B"/>
    <w:rsid w:val="00910FD5"/>
    <w:rsid w:val="00911E51"/>
    <w:rsid w:val="00912DDD"/>
    <w:rsid w:val="0091483A"/>
    <w:rsid w:val="00914CE5"/>
    <w:rsid w:val="00921371"/>
    <w:rsid w:val="00923434"/>
    <w:rsid w:val="009258D4"/>
    <w:rsid w:val="00931305"/>
    <w:rsid w:val="0093451B"/>
    <w:rsid w:val="0093495E"/>
    <w:rsid w:val="009407B9"/>
    <w:rsid w:val="009473E3"/>
    <w:rsid w:val="009509C2"/>
    <w:rsid w:val="00951E78"/>
    <w:rsid w:val="00952947"/>
    <w:rsid w:val="00954C50"/>
    <w:rsid w:val="00955737"/>
    <w:rsid w:val="0096298D"/>
    <w:rsid w:val="00963069"/>
    <w:rsid w:val="00964925"/>
    <w:rsid w:val="00964DCF"/>
    <w:rsid w:val="00966D4B"/>
    <w:rsid w:val="0096786E"/>
    <w:rsid w:val="009731D0"/>
    <w:rsid w:val="009737EB"/>
    <w:rsid w:val="00980087"/>
    <w:rsid w:val="0098754B"/>
    <w:rsid w:val="00987C1D"/>
    <w:rsid w:val="00992B98"/>
    <w:rsid w:val="009953CC"/>
    <w:rsid w:val="00997568"/>
    <w:rsid w:val="00997EAD"/>
    <w:rsid w:val="009A0F87"/>
    <w:rsid w:val="009A3CDF"/>
    <w:rsid w:val="009A4856"/>
    <w:rsid w:val="009B0A3E"/>
    <w:rsid w:val="009B10CE"/>
    <w:rsid w:val="009B3761"/>
    <w:rsid w:val="009B67A1"/>
    <w:rsid w:val="009B6D1C"/>
    <w:rsid w:val="009C1397"/>
    <w:rsid w:val="009C183A"/>
    <w:rsid w:val="009C524A"/>
    <w:rsid w:val="009D4ECF"/>
    <w:rsid w:val="009D6BD4"/>
    <w:rsid w:val="009E1A09"/>
    <w:rsid w:val="009E2EC6"/>
    <w:rsid w:val="009E429F"/>
    <w:rsid w:val="009F0782"/>
    <w:rsid w:val="009F13D9"/>
    <w:rsid w:val="009F2CEE"/>
    <w:rsid w:val="00A01A96"/>
    <w:rsid w:val="00A01E63"/>
    <w:rsid w:val="00A026E1"/>
    <w:rsid w:val="00A11D70"/>
    <w:rsid w:val="00A12669"/>
    <w:rsid w:val="00A137DE"/>
    <w:rsid w:val="00A14B47"/>
    <w:rsid w:val="00A179C2"/>
    <w:rsid w:val="00A232EA"/>
    <w:rsid w:val="00A2422B"/>
    <w:rsid w:val="00A243FE"/>
    <w:rsid w:val="00A24E80"/>
    <w:rsid w:val="00A262F7"/>
    <w:rsid w:val="00A264C6"/>
    <w:rsid w:val="00A3336E"/>
    <w:rsid w:val="00A34FA7"/>
    <w:rsid w:val="00A4299B"/>
    <w:rsid w:val="00A46B6C"/>
    <w:rsid w:val="00A472BD"/>
    <w:rsid w:val="00A50FBE"/>
    <w:rsid w:val="00A51EBA"/>
    <w:rsid w:val="00A53F20"/>
    <w:rsid w:val="00A546A5"/>
    <w:rsid w:val="00A54C71"/>
    <w:rsid w:val="00A558D0"/>
    <w:rsid w:val="00A560EB"/>
    <w:rsid w:val="00A57832"/>
    <w:rsid w:val="00A601C7"/>
    <w:rsid w:val="00A620FC"/>
    <w:rsid w:val="00A621D6"/>
    <w:rsid w:val="00A62D9C"/>
    <w:rsid w:val="00A6644B"/>
    <w:rsid w:val="00A707B9"/>
    <w:rsid w:val="00A71407"/>
    <w:rsid w:val="00A71BB1"/>
    <w:rsid w:val="00A754C6"/>
    <w:rsid w:val="00A7632D"/>
    <w:rsid w:val="00A77013"/>
    <w:rsid w:val="00A80EF5"/>
    <w:rsid w:val="00A81BB0"/>
    <w:rsid w:val="00A848A9"/>
    <w:rsid w:val="00A86C22"/>
    <w:rsid w:val="00A9555F"/>
    <w:rsid w:val="00AA21A7"/>
    <w:rsid w:val="00AA2AFC"/>
    <w:rsid w:val="00AA6B87"/>
    <w:rsid w:val="00AA7AB4"/>
    <w:rsid w:val="00AA7AD6"/>
    <w:rsid w:val="00AB16D7"/>
    <w:rsid w:val="00AB2AEC"/>
    <w:rsid w:val="00AC0B54"/>
    <w:rsid w:val="00AC2009"/>
    <w:rsid w:val="00AC63E0"/>
    <w:rsid w:val="00AC7609"/>
    <w:rsid w:val="00AD5887"/>
    <w:rsid w:val="00AD5EB1"/>
    <w:rsid w:val="00AD7869"/>
    <w:rsid w:val="00AD7C0A"/>
    <w:rsid w:val="00AE1F08"/>
    <w:rsid w:val="00AE25C6"/>
    <w:rsid w:val="00AE7715"/>
    <w:rsid w:val="00AE7C03"/>
    <w:rsid w:val="00AF107B"/>
    <w:rsid w:val="00AF1449"/>
    <w:rsid w:val="00AF47DE"/>
    <w:rsid w:val="00B0074B"/>
    <w:rsid w:val="00B008C6"/>
    <w:rsid w:val="00B03AA6"/>
    <w:rsid w:val="00B03FAA"/>
    <w:rsid w:val="00B10BBE"/>
    <w:rsid w:val="00B15BD1"/>
    <w:rsid w:val="00B164B2"/>
    <w:rsid w:val="00B16532"/>
    <w:rsid w:val="00B20D7E"/>
    <w:rsid w:val="00B212D2"/>
    <w:rsid w:val="00B21ABF"/>
    <w:rsid w:val="00B22F32"/>
    <w:rsid w:val="00B236FC"/>
    <w:rsid w:val="00B30571"/>
    <w:rsid w:val="00B30AE0"/>
    <w:rsid w:val="00B32EFE"/>
    <w:rsid w:val="00B34888"/>
    <w:rsid w:val="00B36C39"/>
    <w:rsid w:val="00B4460F"/>
    <w:rsid w:val="00B51D34"/>
    <w:rsid w:val="00B52234"/>
    <w:rsid w:val="00B528F3"/>
    <w:rsid w:val="00B5300B"/>
    <w:rsid w:val="00B62105"/>
    <w:rsid w:val="00B669E9"/>
    <w:rsid w:val="00B67B11"/>
    <w:rsid w:val="00B73140"/>
    <w:rsid w:val="00B738DA"/>
    <w:rsid w:val="00B739BE"/>
    <w:rsid w:val="00B74B9A"/>
    <w:rsid w:val="00B80D42"/>
    <w:rsid w:val="00B83A77"/>
    <w:rsid w:val="00B85684"/>
    <w:rsid w:val="00B85CDD"/>
    <w:rsid w:val="00B90809"/>
    <w:rsid w:val="00B92416"/>
    <w:rsid w:val="00B9299B"/>
    <w:rsid w:val="00B92A13"/>
    <w:rsid w:val="00B95394"/>
    <w:rsid w:val="00B969E9"/>
    <w:rsid w:val="00BA3BF2"/>
    <w:rsid w:val="00BA48E0"/>
    <w:rsid w:val="00BB11D4"/>
    <w:rsid w:val="00BB1F04"/>
    <w:rsid w:val="00BB2D66"/>
    <w:rsid w:val="00BB4367"/>
    <w:rsid w:val="00BB561C"/>
    <w:rsid w:val="00BB6942"/>
    <w:rsid w:val="00BC038F"/>
    <w:rsid w:val="00BC2757"/>
    <w:rsid w:val="00BC3062"/>
    <w:rsid w:val="00BC6E40"/>
    <w:rsid w:val="00BD0759"/>
    <w:rsid w:val="00BD14E7"/>
    <w:rsid w:val="00BD2B92"/>
    <w:rsid w:val="00BD5570"/>
    <w:rsid w:val="00BD5C44"/>
    <w:rsid w:val="00BE1A2C"/>
    <w:rsid w:val="00BE3465"/>
    <w:rsid w:val="00BE68D3"/>
    <w:rsid w:val="00BE6A21"/>
    <w:rsid w:val="00BF02DE"/>
    <w:rsid w:val="00BF40F7"/>
    <w:rsid w:val="00BF4B47"/>
    <w:rsid w:val="00BF5A79"/>
    <w:rsid w:val="00BF79CB"/>
    <w:rsid w:val="00BF7DC4"/>
    <w:rsid w:val="00C050B6"/>
    <w:rsid w:val="00C07A3F"/>
    <w:rsid w:val="00C13E27"/>
    <w:rsid w:val="00C1706A"/>
    <w:rsid w:val="00C17D59"/>
    <w:rsid w:val="00C21457"/>
    <w:rsid w:val="00C22F6C"/>
    <w:rsid w:val="00C23C2E"/>
    <w:rsid w:val="00C250FD"/>
    <w:rsid w:val="00C32283"/>
    <w:rsid w:val="00C32FB2"/>
    <w:rsid w:val="00C336A1"/>
    <w:rsid w:val="00C3640D"/>
    <w:rsid w:val="00C37D67"/>
    <w:rsid w:val="00C37D83"/>
    <w:rsid w:val="00C41103"/>
    <w:rsid w:val="00C4204B"/>
    <w:rsid w:val="00C42205"/>
    <w:rsid w:val="00C42F21"/>
    <w:rsid w:val="00C43C6F"/>
    <w:rsid w:val="00C46A72"/>
    <w:rsid w:val="00C479A8"/>
    <w:rsid w:val="00C47D5E"/>
    <w:rsid w:val="00C545B5"/>
    <w:rsid w:val="00C57F29"/>
    <w:rsid w:val="00C6403E"/>
    <w:rsid w:val="00C65DB6"/>
    <w:rsid w:val="00C82E7F"/>
    <w:rsid w:val="00C8365A"/>
    <w:rsid w:val="00C84D04"/>
    <w:rsid w:val="00C85C6D"/>
    <w:rsid w:val="00C86D9F"/>
    <w:rsid w:val="00C87EFA"/>
    <w:rsid w:val="00C915CC"/>
    <w:rsid w:val="00C91A84"/>
    <w:rsid w:val="00C969FA"/>
    <w:rsid w:val="00C97A1F"/>
    <w:rsid w:val="00C97ED7"/>
    <w:rsid w:val="00CA44FC"/>
    <w:rsid w:val="00CA5EF9"/>
    <w:rsid w:val="00CA6E65"/>
    <w:rsid w:val="00CA75AC"/>
    <w:rsid w:val="00CB6811"/>
    <w:rsid w:val="00CB69F8"/>
    <w:rsid w:val="00CB7977"/>
    <w:rsid w:val="00CC0F83"/>
    <w:rsid w:val="00CC75A5"/>
    <w:rsid w:val="00CD5B5F"/>
    <w:rsid w:val="00CE4AFF"/>
    <w:rsid w:val="00CE50F3"/>
    <w:rsid w:val="00CE6CB1"/>
    <w:rsid w:val="00CF4A4A"/>
    <w:rsid w:val="00CF4F6C"/>
    <w:rsid w:val="00CF752F"/>
    <w:rsid w:val="00D0059E"/>
    <w:rsid w:val="00D040F3"/>
    <w:rsid w:val="00D059AA"/>
    <w:rsid w:val="00D10462"/>
    <w:rsid w:val="00D10BE1"/>
    <w:rsid w:val="00D1229D"/>
    <w:rsid w:val="00D126FD"/>
    <w:rsid w:val="00D132B2"/>
    <w:rsid w:val="00D14C03"/>
    <w:rsid w:val="00D1692D"/>
    <w:rsid w:val="00D201FF"/>
    <w:rsid w:val="00D23077"/>
    <w:rsid w:val="00D27172"/>
    <w:rsid w:val="00D272B6"/>
    <w:rsid w:val="00D32F1A"/>
    <w:rsid w:val="00D34C55"/>
    <w:rsid w:val="00D36C9B"/>
    <w:rsid w:val="00D37B41"/>
    <w:rsid w:val="00D47169"/>
    <w:rsid w:val="00D50CBB"/>
    <w:rsid w:val="00D52AF7"/>
    <w:rsid w:val="00D54AE2"/>
    <w:rsid w:val="00D54DA0"/>
    <w:rsid w:val="00D5636F"/>
    <w:rsid w:val="00D61094"/>
    <w:rsid w:val="00D63418"/>
    <w:rsid w:val="00D66426"/>
    <w:rsid w:val="00D70060"/>
    <w:rsid w:val="00D7173B"/>
    <w:rsid w:val="00D72F4C"/>
    <w:rsid w:val="00D72F58"/>
    <w:rsid w:val="00D752C9"/>
    <w:rsid w:val="00D83BB5"/>
    <w:rsid w:val="00D84AA3"/>
    <w:rsid w:val="00D85431"/>
    <w:rsid w:val="00D9057C"/>
    <w:rsid w:val="00D91A30"/>
    <w:rsid w:val="00D922A9"/>
    <w:rsid w:val="00D94F14"/>
    <w:rsid w:val="00D94FBA"/>
    <w:rsid w:val="00D95FAB"/>
    <w:rsid w:val="00DA2B36"/>
    <w:rsid w:val="00DA3845"/>
    <w:rsid w:val="00DA7A3C"/>
    <w:rsid w:val="00DB7A9F"/>
    <w:rsid w:val="00DC100F"/>
    <w:rsid w:val="00DC1A7F"/>
    <w:rsid w:val="00DC4C37"/>
    <w:rsid w:val="00DC6454"/>
    <w:rsid w:val="00DC7DC3"/>
    <w:rsid w:val="00DD0076"/>
    <w:rsid w:val="00DD0925"/>
    <w:rsid w:val="00DD24D8"/>
    <w:rsid w:val="00DD2D6B"/>
    <w:rsid w:val="00DD48E7"/>
    <w:rsid w:val="00DD57BD"/>
    <w:rsid w:val="00DD5A17"/>
    <w:rsid w:val="00DD66BD"/>
    <w:rsid w:val="00DD6C2B"/>
    <w:rsid w:val="00DD6D76"/>
    <w:rsid w:val="00DE4E38"/>
    <w:rsid w:val="00DE6CF4"/>
    <w:rsid w:val="00DE6EF5"/>
    <w:rsid w:val="00DF1613"/>
    <w:rsid w:val="00DF40EC"/>
    <w:rsid w:val="00DF4F6E"/>
    <w:rsid w:val="00DF5494"/>
    <w:rsid w:val="00E003A7"/>
    <w:rsid w:val="00E00BE0"/>
    <w:rsid w:val="00E0170A"/>
    <w:rsid w:val="00E0232B"/>
    <w:rsid w:val="00E04D3A"/>
    <w:rsid w:val="00E05E4C"/>
    <w:rsid w:val="00E07D51"/>
    <w:rsid w:val="00E12F83"/>
    <w:rsid w:val="00E13ECB"/>
    <w:rsid w:val="00E20187"/>
    <w:rsid w:val="00E2448B"/>
    <w:rsid w:val="00E25EA6"/>
    <w:rsid w:val="00E26486"/>
    <w:rsid w:val="00E37CF6"/>
    <w:rsid w:val="00E40147"/>
    <w:rsid w:val="00E41306"/>
    <w:rsid w:val="00E45522"/>
    <w:rsid w:val="00E462EB"/>
    <w:rsid w:val="00E52926"/>
    <w:rsid w:val="00E5396D"/>
    <w:rsid w:val="00E5704E"/>
    <w:rsid w:val="00E5793C"/>
    <w:rsid w:val="00E640C6"/>
    <w:rsid w:val="00E65C89"/>
    <w:rsid w:val="00E660DC"/>
    <w:rsid w:val="00E66CA3"/>
    <w:rsid w:val="00E66F66"/>
    <w:rsid w:val="00E7198B"/>
    <w:rsid w:val="00E7419F"/>
    <w:rsid w:val="00E80704"/>
    <w:rsid w:val="00E81B5D"/>
    <w:rsid w:val="00E830B7"/>
    <w:rsid w:val="00E84C35"/>
    <w:rsid w:val="00E86166"/>
    <w:rsid w:val="00E87279"/>
    <w:rsid w:val="00EA02A0"/>
    <w:rsid w:val="00EA3D02"/>
    <w:rsid w:val="00EA4965"/>
    <w:rsid w:val="00EA620B"/>
    <w:rsid w:val="00EA71A8"/>
    <w:rsid w:val="00EB4610"/>
    <w:rsid w:val="00EB5B73"/>
    <w:rsid w:val="00EB718D"/>
    <w:rsid w:val="00EB79CD"/>
    <w:rsid w:val="00EC0561"/>
    <w:rsid w:val="00EC2C3B"/>
    <w:rsid w:val="00EC2CA6"/>
    <w:rsid w:val="00EC2F18"/>
    <w:rsid w:val="00EC4C4A"/>
    <w:rsid w:val="00EC590F"/>
    <w:rsid w:val="00ED4A3E"/>
    <w:rsid w:val="00ED55A5"/>
    <w:rsid w:val="00ED600E"/>
    <w:rsid w:val="00EE4533"/>
    <w:rsid w:val="00EE5020"/>
    <w:rsid w:val="00EF0010"/>
    <w:rsid w:val="00EF30FD"/>
    <w:rsid w:val="00EF3444"/>
    <w:rsid w:val="00EF5B3A"/>
    <w:rsid w:val="00EF68EC"/>
    <w:rsid w:val="00EF6FB3"/>
    <w:rsid w:val="00F00992"/>
    <w:rsid w:val="00F03A44"/>
    <w:rsid w:val="00F048EC"/>
    <w:rsid w:val="00F07299"/>
    <w:rsid w:val="00F07714"/>
    <w:rsid w:val="00F1385C"/>
    <w:rsid w:val="00F16C7E"/>
    <w:rsid w:val="00F216C4"/>
    <w:rsid w:val="00F22834"/>
    <w:rsid w:val="00F23E4B"/>
    <w:rsid w:val="00F25FAB"/>
    <w:rsid w:val="00F31935"/>
    <w:rsid w:val="00F355C3"/>
    <w:rsid w:val="00F35CCF"/>
    <w:rsid w:val="00F37EE9"/>
    <w:rsid w:val="00F41F81"/>
    <w:rsid w:val="00F441EC"/>
    <w:rsid w:val="00F50BCA"/>
    <w:rsid w:val="00F51F20"/>
    <w:rsid w:val="00F56F44"/>
    <w:rsid w:val="00F578C5"/>
    <w:rsid w:val="00F57B30"/>
    <w:rsid w:val="00F610D7"/>
    <w:rsid w:val="00F72397"/>
    <w:rsid w:val="00F77E23"/>
    <w:rsid w:val="00F81FB0"/>
    <w:rsid w:val="00F82522"/>
    <w:rsid w:val="00F837AD"/>
    <w:rsid w:val="00F857E5"/>
    <w:rsid w:val="00F90D67"/>
    <w:rsid w:val="00F915C0"/>
    <w:rsid w:val="00F9215F"/>
    <w:rsid w:val="00F9272C"/>
    <w:rsid w:val="00F94231"/>
    <w:rsid w:val="00F957EF"/>
    <w:rsid w:val="00FA140B"/>
    <w:rsid w:val="00FA1FC9"/>
    <w:rsid w:val="00FA67C6"/>
    <w:rsid w:val="00FB073D"/>
    <w:rsid w:val="00FB2A22"/>
    <w:rsid w:val="00FB5C1C"/>
    <w:rsid w:val="00FB5F96"/>
    <w:rsid w:val="00FB7FEC"/>
    <w:rsid w:val="00FC0FEF"/>
    <w:rsid w:val="00FC2717"/>
    <w:rsid w:val="00FC3E8D"/>
    <w:rsid w:val="00FD3385"/>
    <w:rsid w:val="00FD6034"/>
    <w:rsid w:val="00FD6742"/>
    <w:rsid w:val="00FD79BB"/>
    <w:rsid w:val="00FE3392"/>
    <w:rsid w:val="00FE602E"/>
    <w:rsid w:val="00FF0D8B"/>
    <w:rsid w:val="00FF5B05"/>
    <w:rsid w:val="00FF647A"/>
    <w:rsid w:val="00FF791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FBDC"/>
  <w15:docId w15:val="{25D0946F-68B4-9A4E-9C93-454D1F55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kern w:val="3"/>
        <w:sz w:val="22"/>
        <w:szCs w:val="22"/>
        <w:lang w:val="en-US" w:eastAsia="zh-CN" w:bidi="hi-IN"/>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DA"/>
    <w:pPr>
      <w:widowControl/>
    </w:pPr>
  </w:style>
  <w:style w:type="paragraph" w:styleId="Heading1">
    <w:name w:val="heading 1"/>
    <w:basedOn w:val="Normal"/>
    <w:next w:val="Textbody"/>
    <w:uiPriority w:val="9"/>
    <w:qFormat/>
    <w:rsid w:val="003812DA"/>
    <w:pPr>
      <w:keepNext/>
      <w:keepLines/>
      <w:spacing w:before="400" w:after="120" w:line="240" w:lineRule="auto"/>
      <w:outlineLvl w:val="0"/>
    </w:pPr>
    <w:rPr>
      <w:sz w:val="40"/>
      <w:szCs w:val="40"/>
    </w:rPr>
  </w:style>
  <w:style w:type="paragraph" w:styleId="Heading2">
    <w:name w:val="heading 2"/>
    <w:basedOn w:val="Normal"/>
    <w:next w:val="Textbody"/>
    <w:uiPriority w:val="9"/>
    <w:semiHidden/>
    <w:unhideWhenUsed/>
    <w:qFormat/>
    <w:rsid w:val="003812DA"/>
    <w:pPr>
      <w:keepNext/>
      <w:keepLines/>
      <w:spacing w:before="360" w:after="120" w:line="240" w:lineRule="auto"/>
      <w:outlineLvl w:val="1"/>
    </w:pPr>
    <w:rPr>
      <w:sz w:val="32"/>
      <w:szCs w:val="32"/>
    </w:rPr>
  </w:style>
  <w:style w:type="paragraph" w:styleId="Heading3">
    <w:name w:val="heading 3"/>
    <w:basedOn w:val="Normal"/>
    <w:next w:val="Textbody"/>
    <w:uiPriority w:val="9"/>
    <w:semiHidden/>
    <w:unhideWhenUsed/>
    <w:qFormat/>
    <w:rsid w:val="003812DA"/>
    <w:pPr>
      <w:keepNext/>
      <w:keepLines/>
      <w:spacing w:before="320" w:after="80" w:line="240" w:lineRule="auto"/>
      <w:outlineLvl w:val="2"/>
    </w:pPr>
    <w:rPr>
      <w:color w:val="434343"/>
      <w:sz w:val="28"/>
      <w:szCs w:val="28"/>
    </w:rPr>
  </w:style>
  <w:style w:type="paragraph" w:styleId="Heading4">
    <w:name w:val="heading 4"/>
    <w:basedOn w:val="Normal"/>
    <w:next w:val="Textbody"/>
    <w:uiPriority w:val="9"/>
    <w:semiHidden/>
    <w:unhideWhenUsed/>
    <w:qFormat/>
    <w:rsid w:val="003812DA"/>
    <w:pPr>
      <w:keepNext/>
      <w:keepLines/>
      <w:spacing w:before="280" w:after="80" w:line="240" w:lineRule="auto"/>
      <w:outlineLvl w:val="3"/>
    </w:pPr>
    <w:rPr>
      <w:color w:val="666666"/>
      <w:sz w:val="24"/>
      <w:szCs w:val="24"/>
    </w:rPr>
  </w:style>
  <w:style w:type="paragraph" w:styleId="Heading5">
    <w:name w:val="heading 5"/>
    <w:basedOn w:val="Normal"/>
    <w:next w:val="Textbody"/>
    <w:uiPriority w:val="9"/>
    <w:semiHidden/>
    <w:unhideWhenUsed/>
    <w:qFormat/>
    <w:rsid w:val="003812DA"/>
    <w:pPr>
      <w:keepNext/>
      <w:keepLines/>
      <w:spacing w:before="240" w:after="80" w:line="240" w:lineRule="auto"/>
      <w:outlineLvl w:val="4"/>
    </w:pPr>
    <w:rPr>
      <w:color w:val="666666"/>
    </w:rPr>
  </w:style>
  <w:style w:type="paragraph" w:styleId="Heading6">
    <w:name w:val="heading 6"/>
    <w:basedOn w:val="Normal"/>
    <w:next w:val="Textbody"/>
    <w:uiPriority w:val="9"/>
    <w:semiHidden/>
    <w:unhideWhenUsed/>
    <w:qFormat/>
    <w:rsid w:val="003812DA"/>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812DA"/>
  </w:style>
  <w:style w:type="paragraph" w:customStyle="1" w:styleId="Heading">
    <w:name w:val="Heading"/>
    <w:basedOn w:val="Standard"/>
    <w:next w:val="Textbody"/>
    <w:rsid w:val="003812DA"/>
    <w:pPr>
      <w:keepNext/>
      <w:spacing w:before="240" w:after="120"/>
    </w:pPr>
    <w:rPr>
      <w:rFonts w:eastAsia="Arial Unicode MS" w:cs="Arial Unicode MS"/>
      <w:sz w:val="28"/>
      <w:szCs w:val="28"/>
    </w:rPr>
  </w:style>
  <w:style w:type="paragraph" w:customStyle="1" w:styleId="Textbody">
    <w:name w:val="Text body"/>
    <w:basedOn w:val="Standard"/>
    <w:rsid w:val="003812DA"/>
    <w:pPr>
      <w:spacing w:after="120"/>
    </w:pPr>
  </w:style>
  <w:style w:type="paragraph" w:styleId="List">
    <w:name w:val="List"/>
    <w:basedOn w:val="Textbody"/>
    <w:rsid w:val="003812DA"/>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rsid w:val="003812DA"/>
    <w:pPr>
      <w:suppressLineNumbers/>
    </w:pPr>
  </w:style>
  <w:style w:type="paragraph" w:styleId="Title">
    <w:name w:val="Title"/>
    <w:basedOn w:val="Normal"/>
    <w:next w:val="Subtitle"/>
    <w:uiPriority w:val="10"/>
    <w:qFormat/>
    <w:rsid w:val="003812DA"/>
    <w:pPr>
      <w:keepNext/>
      <w:keepLines/>
      <w:spacing w:after="60" w:line="240" w:lineRule="auto"/>
    </w:pPr>
    <w:rPr>
      <w:b/>
      <w:bCs/>
      <w:sz w:val="52"/>
      <w:szCs w:val="52"/>
    </w:rPr>
  </w:style>
  <w:style w:type="paragraph" w:styleId="Subtitle">
    <w:name w:val="Subtitle"/>
    <w:basedOn w:val="Normal"/>
    <w:next w:val="Textbody"/>
    <w:uiPriority w:val="11"/>
    <w:qFormat/>
    <w:rsid w:val="003812DA"/>
    <w:pPr>
      <w:keepNext/>
      <w:keepLines/>
      <w:spacing w:after="320" w:line="240" w:lineRule="auto"/>
    </w:pPr>
    <w:rPr>
      <w:iCs/>
      <w:color w:val="666666"/>
      <w:sz w:val="30"/>
      <w:szCs w:val="30"/>
    </w:rPr>
  </w:style>
  <w:style w:type="paragraph" w:customStyle="1" w:styleId="Footnote">
    <w:name w:val="Footnote"/>
    <w:basedOn w:val="Standard"/>
    <w:pPr>
      <w:suppressLineNumbers/>
      <w:ind w:left="283" w:hanging="283"/>
    </w:pPr>
    <w:rPr>
      <w:sz w:val="20"/>
      <w:szCs w:val="20"/>
    </w:rPr>
  </w:style>
  <w:style w:type="character" w:customStyle="1" w:styleId="ListLabel1">
    <w:name w:val="ListLabel 1"/>
    <w:rsid w:val="003812DA"/>
    <w:rPr>
      <w:u w:val="none"/>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character" w:styleId="FootnoteReference">
    <w:name w:val="footnote reference"/>
    <w:basedOn w:val="DefaultParagraphFont"/>
    <w:uiPriority w:val="99"/>
    <w:semiHidden/>
    <w:unhideWhenUsed/>
    <w:rPr>
      <w:vertAlign w:val="superscript"/>
    </w:rPr>
  </w:style>
  <w:style w:type="character" w:customStyle="1" w:styleId="ListLabel2">
    <w:name w:val="ListLabel 2"/>
    <w:rsid w:val="003812DA"/>
    <w:rPr>
      <w:u w:val="none"/>
    </w:rPr>
  </w:style>
  <w:style w:type="character" w:customStyle="1" w:styleId="ListLabel3">
    <w:name w:val="ListLabel 3"/>
    <w:rsid w:val="003812DA"/>
    <w:rPr>
      <w:u w:val="none"/>
    </w:rPr>
  </w:style>
  <w:style w:type="character" w:customStyle="1" w:styleId="ListLabel4">
    <w:name w:val="ListLabel 4"/>
    <w:rsid w:val="003812DA"/>
    <w:rPr>
      <w:u w:val="none"/>
    </w:rPr>
  </w:style>
  <w:style w:type="character" w:customStyle="1" w:styleId="ListLabel5">
    <w:name w:val="ListLabel 5"/>
    <w:rsid w:val="003812DA"/>
    <w:rPr>
      <w:u w:val="none"/>
    </w:rPr>
  </w:style>
  <w:style w:type="character" w:customStyle="1" w:styleId="ListLabel6">
    <w:name w:val="ListLabel 6"/>
    <w:rsid w:val="003812DA"/>
    <w:rPr>
      <w:u w:val="none"/>
    </w:rPr>
  </w:style>
  <w:style w:type="character" w:customStyle="1" w:styleId="ListLabel7">
    <w:name w:val="ListLabel 7"/>
    <w:rsid w:val="003812DA"/>
    <w:rPr>
      <w:u w:val="none"/>
    </w:rPr>
  </w:style>
  <w:style w:type="character" w:customStyle="1" w:styleId="ListLabel8">
    <w:name w:val="ListLabel 8"/>
    <w:rsid w:val="003812DA"/>
    <w:rPr>
      <w:u w:val="none"/>
    </w:rPr>
  </w:style>
  <w:style w:type="character" w:customStyle="1" w:styleId="ListLabel9">
    <w:name w:val="ListLabel 9"/>
    <w:rsid w:val="003812DA"/>
    <w:rPr>
      <w:u w:val="none"/>
    </w:rPr>
  </w:style>
  <w:style w:type="character" w:customStyle="1" w:styleId="ListLabel10">
    <w:name w:val="ListLabel 10"/>
    <w:rsid w:val="003812DA"/>
    <w:rPr>
      <w:rFonts w:ascii="Times New Roman" w:hAnsi="Times New Roman"/>
      <w:sz w:val="24"/>
      <w:u w:val="none"/>
    </w:rPr>
  </w:style>
  <w:style w:type="character" w:customStyle="1" w:styleId="ListLabel11">
    <w:name w:val="ListLabel 11"/>
    <w:rsid w:val="003812DA"/>
    <w:rPr>
      <w:u w:val="none"/>
    </w:rPr>
  </w:style>
  <w:style w:type="character" w:customStyle="1" w:styleId="ListLabel12">
    <w:name w:val="ListLabel 12"/>
    <w:rsid w:val="003812DA"/>
    <w:rPr>
      <w:u w:val="none"/>
    </w:rPr>
  </w:style>
  <w:style w:type="character" w:customStyle="1" w:styleId="ListLabel13">
    <w:name w:val="ListLabel 13"/>
    <w:rsid w:val="003812DA"/>
    <w:rPr>
      <w:u w:val="none"/>
    </w:rPr>
  </w:style>
  <w:style w:type="character" w:customStyle="1" w:styleId="ListLabel14">
    <w:name w:val="ListLabel 14"/>
    <w:rsid w:val="003812DA"/>
    <w:rPr>
      <w:u w:val="none"/>
    </w:rPr>
  </w:style>
  <w:style w:type="character" w:customStyle="1" w:styleId="ListLabel15">
    <w:name w:val="ListLabel 15"/>
    <w:rsid w:val="003812DA"/>
    <w:rPr>
      <w:u w:val="none"/>
    </w:rPr>
  </w:style>
  <w:style w:type="character" w:customStyle="1" w:styleId="ListLabel16">
    <w:name w:val="ListLabel 16"/>
    <w:rsid w:val="003812DA"/>
    <w:rPr>
      <w:u w:val="none"/>
    </w:rPr>
  </w:style>
  <w:style w:type="character" w:customStyle="1" w:styleId="ListLabel17">
    <w:name w:val="ListLabel 17"/>
    <w:rsid w:val="003812DA"/>
    <w:rPr>
      <w:u w:val="none"/>
    </w:rPr>
  </w:style>
  <w:style w:type="character" w:customStyle="1" w:styleId="ListLabel18">
    <w:name w:val="ListLabel 18"/>
    <w:rsid w:val="003812DA"/>
    <w:rPr>
      <w:u w:val="none"/>
    </w:rPr>
  </w:style>
  <w:style w:type="character" w:customStyle="1" w:styleId="ListLabel19">
    <w:name w:val="ListLabel 19"/>
    <w:rsid w:val="003812DA"/>
    <w:rPr>
      <w:rFonts w:ascii="Times New Roman" w:hAnsi="Times New Roman"/>
      <w:sz w:val="24"/>
      <w:u w:val="none"/>
    </w:rPr>
  </w:style>
  <w:style w:type="character" w:customStyle="1" w:styleId="ListLabel20">
    <w:name w:val="ListLabel 20"/>
    <w:rsid w:val="003812DA"/>
    <w:rPr>
      <w:u w:val="none"/>
    </w:rPr>
  </w:style>
  <w:style w:type="character" w:customStyle="1" w:styleId="ListLabel21">
    <w:name w:val="ListLabel 21"/>
    <w:rsid w:val="003812DA"/>
    <w:rPr>
      <w:u w:val="none"/>
    </w:rPr>
  </w:style>
  <w:style w:type="character" w:customStyle="1" w:styleId="ListLabel22">
    <w:name w:val="ListLabel 22"/>
    <w:rsid w:val="003812DA"/>
    <w:rPr>
      <w:u w:val="none"/>
    </w:rPr>
  </w:style>
  <w:style w:type="character" w:customStyle="1" w:styleId="ListLabel23">
    <w:name w:val="ListLabel 23"/>
    <w:rsid w:val="003812DA"/>
    <w:rPr>
      <w:u w:val="none"/>
    </w:rPr>
  </w:style>
  <w:style w:type="character" w:customStyle="1" w:styleId="ListLabel24">
    <w:name w:val="ListLabel 24"/>
    <w:rsid w:val="003812DA"/>
    <w:rPr>
      <w:u w:val="none"/>
    </w:rPr>
  </w:style>
  <w:style w:type="character" w:customStyle="1" w:styleId="ListLabel25">
    <w:name w:val="ListLabel 25"/>
    <w:rsid w:val="003812DA"/>
    <w:rPr>
      <w:u w:val="none"/>
    </w:rPr>
  </w:style>
  <w:style w:type="character" w:customStyle="1" w:styleId="ListLabel26">
    <w:name w:val="ListLabel 26"/>
    <w:rsid w:val="003812DA"/>
    <w:rPr>
      <w:u w:val="none"/>
    </w:rPr>
  </w:style>
  <w:style w:type="character" w:customStyle="1" w:styleId="ListLabel27">
    <w:name w:val="ListLabel 27"/>
    <w:rsid w:val="003812DA"/>
    <w:rPr>
      <w:u w:val="none"/>
    </w:rPr>
  </w:style>
  <w:style w:type="character" w:customStyle="1" w:styleId="ListLabel28">
    <w:name w:val="ListLabel 28"/>
    <w:rsid w:val="003812DA"/>
    <w:rPr>
      <w:rFonts w:ascii="Times New Roman" w:hAnsi="Times New Roman"/>
      <w:sz w:val="24"/>
      <w:u w:val="none"/>
    </w:rPr>
  </w:style>
  <w:style w:type="character" w:customStyle="1" w:styleId="ListLabel29">
    <w:name w:val="ListLabel 29"/>
    <w:rsid w:val="003812DA"/>
    <w:rPr>
      <w:u w:val="none"/>
    </w:rPr>
  </w:style>
  <w:style w:type="character" w:customStyle="1" w:styleId="ListLabel30">
    <w:name w:val="ListLabel 30"/>
    <w:rsid w:val="003812DA"/>
    <w:rPr>
      <w:u w:val="none"/>
    </w:rPr>
  </w:style>
  <w:style w:type="character" w:customStyle="1" w:styleId="ListLabel31">
    <w:name w:val="ListLabel 31"/>
    <w:rsid w:val="003812DA"/>
    <w:rPr>
      <w:u w:val="none"/>
    </w:rPr>
  </w:style>
  <w:style w:type="character" w:customStyle="1" w:styleId="ListLabel32">
    <w:name w:val="ListLabel 32"/>
    <w:rsid w:val="003812DA"/>
    <w:rPr>
      <w:u w:val="none"/>
    </w:rPr>
  </w:style>
  <w:style w:type="character" w:customStyle="1" w:styleId="ListLabel33">
    <w:name w:val="ListLabel 33"/>
    <w:rsid w:val="003812DA"/>
    <w:rPr>
      <w:u w:val="none"/>
    </w:rPr>
  </w:style>
  <w:style w:type="character" w:customStyle="1" w:styleId="ListLabel34">
    <w:name w:val="ListLabel 34"/>
    <w:rsid w:val="003812DA"/>
    <w:rPr>
      <w:u w:val="none"/>
    </w:rPr>
  </w:style>
  <w:style w:type="character" w:customStyle="1" w:styleId="ListLabel35">
    <w:name w:val="ListLabel 35"/>
    <w:rsid w:val="003812DA"/>
    <w:rPr>
      <w:u w:val="none"/>
    </w:rPr>
  </w:style>
  <w:style w:type="character" w:customStyle="1" w:styleId="ListLabel36">
    <w:name w:val="ListLabel 36"/>
    <w:rsid w:val="003812DA"/>
    <w:rPr>
      <w:u w:val="none"/>
    </w:rPr>
  </w:style>
  <w:style w:type="character" w:customStyle="1" w:styleId="ListLabel37">
    <w:name w:val="ListLabel 37"/>
    <w:rsid w:val="003812DA"/>
    <w:rPr>
      <w:rFonts w:ascii="Times New Roman" w:hAnsi="Times New Roman"/>
      <w:sz w:val="24"/>
      <w:u w:val="none"/>
    </w:rPr>
  </w:style>
  <w:style w:type="character" w:customStyle="1" w:styleId="ListLabel38">
    <w:name w:val="ListLabel 38"/>
    <w:rsid w:val="003812DA"/>
    <w:rPr>
      <w:u w:val="none"/>
    </w:rPr>
  </w:style>
  <w:style w:type="character" w:customStyle="1" w:styleId="ListLabel39">
    <w:name w:val="ListLabel 39"/>
    <w:rsid w:val="003812DA"/>
    <w:rPr>
      <w:u w:val="none"/>
    </w:rPr>
  </w:style>
  <w:style w:type="character" w:customStyle="1" w:styleId="ListLabel40">
    <w:name w:val="ListLabel 40"/>
    <w:rsid w:val="003812DA"/>
    <w:rPr>
      <w:u w:val="none"/>
    </w:rPr>
  </w:style>
  <w:style w:type="character" w:customStyle="1" w:styleId="ListLabel41">
    <w:name w:val="ListLabel 41"/>
    <w:rsid w:val="003812DA"/>
    <w:rPr>
      <w:u w:val="none"/>
    </w:rPr>
  </w:style>
  <w:style w:type="character" w:customStyle="1" w:styleId="ListLabel42">
    <w:name w:val="ListLabel 42"/>
    <w:rsid w:val="003812DA"/>
    <w:rPr>
      <w:u w:val="none"/>
    </w:rPr>
  </w:style>
  <w:style w:type="character" w:customStyle="1" w:styleId="ListLabel43">
    <w:name w:val="ListLabel 43"/>
    <w:rsid w:val="003812DA"/>
    <w:rPr>
      <w:u w:val="none"/>
    </w:rPr>
  </w:style>
  <w:style w:type="character" w:customStyle="1" w:styleId="ListLabel44">
    <w:name w:val="ListLabel 44"/>
    <w:rsid w:val="003812DA"/>
    <w:rPr>
      <w:u w:val="none"/>
    </w:rPr>
  </w:style>
  <w:style w:type="character" w:customStyle="1" w:styleId="ListLabel45">
    <w:name w:val="ListLabel 45"/>
    <w:rsid w:val="003812DA"/>
    <w:rPr>
      <w:u w:val="none"/>
    </w:rPr>
  </w:style>
  <w:style w:type="character" w:customStyle="1" w:styleId="ListLabel46">
    <w:name w:val="ListLabel 46"/>
    <w:rsid w:val="003812DA"/>
    <w:rPr>
      <w:rFonts w:ascii="Times New Roman" w:hAnsi="Times New Roman"/>
      <w:sz w:val="24"/>
      <w:u w:val="none"/>
    </w:rPr>
  </w:style>
  <w:style w:type="character" w:customStyle="1" w:styleId="ListLabel47">
    <w:name w:val="ListLabel 47"/>
    <w:rsid w:val="003812DA"/>
    <w:rPr>
      <w:u w:val="none"/>
    </w:rPr>
  </w:style>
  <w:style w:type="character" w:customStyle="1" w:styleId="ListLabel48">
    <w:name w:val="ListLabel 48"/>
    <w:rsid w:val="003812DA"/>
    <w:rPr>
      <w:u w:val="none"/>
    </w:rPr>
  </w:style>
  <w:style w:type="character" w:customStyle="1" w:styleId="ListLabel49">
    <w:name w:val="ListLabel 49"/>
    <w:rsid w:val="003812DA"/>
    <w:rPr>
      <w:u w:val="none"/>
    </w:rPr>
  </w:style>
  <w:style w:type="character" w:customStyle="1" w:styleId="ListLabel50">
    <w:name w:val="ListLabel 50"/>
    <w:rsid w:val="003812DA"/>
    <w:rPr>
      <w:u w:val="none"/>
    </w:rPr>
  </w:style>
  <w:style w:type="character" w:customStyle="1" w:styleId="ListLabel51">
    <w:name w:val="ListLabel 51"/>
    <w:rsid w:val="003812DA"/>
    <w:rPr>
      <w:u w:val="none"/>
    </w:rPr>
  </w:style>
  <w:style w:type="character" w:customStyle="1" w:styleId="ListLabel52">
    <w:name w:val="ListLabel 52"/>
    <w:rsid w:val="003812DA"/>
    <w:rPr>
      <w:u w:val="none"/>
    </w:rPr>
  </w:style>
  <w:style w:type="character" w:customStyle="1" w:styleId="ListLabel53">
    <w:name w:val="ListLabel 53"/>
    <w:rsid w:val="003812DA"/>
    <w:rPr>
      <w:u w:val="none"/>
    </w:rPr>
  </w:style>
  <w:style w:type="character" w:customStyle="1" w:styleId="ListLabel54">
    <w:name w:val="ListLabel 54"/>
    <w:rsid w:val="003812DA"/>
    <w:rPr>
      <w:u w:val="none"/>
    </w:rPr>
  </w:style>
  <w:style w:type="character" w:customStyle="1" w:styleId="NumberingSymbols">
    <w:name w:val="Numbering Symbols"/>
    <w:rsid w:val="003812DA"/>
  </w:style>
  <w:style w:type="character" w:styleId="CommentReference">
    <w:name w:val="annotation reference"/>
    <w:basedOn w:val="DefaultParagraphFont"/>
    <w:uiPriority w:val="99"/>
    <w:semiHidden/>
    <w:unhideWhenUsed/>
    <w:rsid w:val="003812DA"/>
    <w:rPr>
      <w:sz w:val="16"/>
      <w:szCs w:val="16"/>
    </w:rPr>
  </w:style>
  <w:style w:type="paragraph" w:styleId="CommentText">
    <w:name w:val="annotation text"/>
    <w:basedOn w:val="Normal"/>
    <w:link w:val="CommentTextChar"/>
    <w:uiPriority w:val="99"/>
    <w:unhideWhenUsed/>
    <w:rsid w:val="003812DA"/>
    <w:pPr>
      <w:widowControl w:val="0"/>
      <w:spacing w:line="240" w:lineRule="auto"/>
    </w:pPr>
    <w:rPr>
      <w:rFonts w:ascii="Times New Roman" w:eastAsia="Arial Unicode MS" w:hAnsi="Times New Roman" w:cs="Mangal"/>
      <w:sz w:val="20"/>
      <w:szCs w:val="18"/>
      <w:lang w:val="en-SG"/>
    </w:rPr>
  </w:style>
  <w:style w:type="character" w:customStyle="1" w:styleId="CommentTextChar">
    <w:name w:val="Comment Text Char"/>
    <w:basedOn w:val="DefaultParagraphFont"/>
    <w:link w:val="CommentText"/>
    <w:uiPriority w:val="99"/>
    <w:rsid w:val="003812DA"/>
    <w:rPr>
      <w:rFonts w:ascii="Times New Roman" w:eastAsia="Arial Unicode MS" w:hAnsi="Times New Roman" w:cs="Mangal"/>
      <w:sz w:val="20"/>
      <w:szCs w:val="18"/>
      <w:lang w:val="en-SG"/>
    </w:rPr>
  </w:style>
  <w:style w:type="paragraph" w:styleId="CommentSubject">
    <w:name w:val="annotation subject"/>
    <w:basedOn w:val="CommentText"/>
    <w:next w:val="CommentText"/>
    <w:link w:val="CommentSubjectChar"/>
    <w:uiPriority w:val="99"/>
    <w:semiHidden/>
    <w:unhideWhenUsed/>
    <w:rsid w:val="003812DA"/>
    <w:rPr>
      <w:b/>
      <w:bCs/>
    </w:rPr>
  </w:style>
  <w:style w:type="character" w:customStyle="1" w:styleId="CommentSubjectChar">
    <w:name w:val="Comment Subject Char"/>
    <w:basedOn w:val="CommentTextChar"/>
    <w:link w:val="CommentSubject"/>
    <w:uiPriority w:val="99"/>
    <w:semiHidden/>
    <w:rsid w:val="003812DA"/>
    <w:rPr>
      <w:rFonts w:ascii="Times New Roman" w:eastAsia="Arial Unicode MS" w:hAnsi="Times New Roman" w:cs="Mangal"/>
      <w:b/>
      <w:bCs/>
      <w:sz w:val="20"/>
      <w:szCs w:val="18"/>
      <w:lang w:val="en-SG"/>
    </w:rPr>
  </w:style>
  <w:style w:type="paragraph" w:styleId="BalloonText">
    <w:name w:val="Balloon Text"/>
    <w:basedOn w:val="Normal"/>
    <w:link w:val="BalloonTextChar"/>
    <w:uiPriority w:val="99"/>
    <w:semiHidden/>
    <w:unhideWhenUsed/>
    <w:rsid w:val="003812DA"/>
    <w:pPr>
      <w:widowControl w:val="0"/>
      <w:spacing w:line="240" w:lineRule="auto"/>
    </w:pPr>
    <w:rPr>
      <w:rFonts w:ascii="Times New Roman" w:eastAsia="Arial Unicode MS" w:hAnsi="Times New Roman" w:cs="Mangal"/>
      <w:sz w:val="18"/>
      <w:szCs w:val="16"/>
      <w:lang w:val="en-SG"/>
    </w:rPr>
  </w:style>
  <w:style w:type="character" w:customStyle="1" w:styleId="BalloonTextChar">
    <w:name w:val="Balloon Text Char"/>
    <w:basedOn w:val="DefaultParagraphFont"/>
    <w:link w:val="BalloonText"/>
    <w:uiPriority w:val="99"/>
    <w:semiHidden/>
    <w:rsid w:val="003812DA"/>
    <w:rPr>
      <w:rFonts w:ascii="Times New Roman" w:eastAsia="Arial Unicode MS" w:hAnsi="Times New Roman" w:cs="Mangal"/>
      <w:sz w:val="18"/>
      <w:szCs w:val="16"/>
      <w:lang w:val="en-SG"/>
    </w:rPr>
  </w:style>
  <w:style w:type="paragraph" w:styleId="Header">
    <w:name w:val="header"/>
    <w:basedOn w:val="Normal"/>
    <w:link w:val="HeaderChar"/>
    <w:uiPriority w:val="99"/>
    <w:unhideWhenUsed/>
    <w:rsid w:val="003812DA"/>
    <w:pPr>
      <w:widowControl w:val="0"/>
      <w:tabs>
        <w:tab w:val="center" w:pos="4680"/>
        <w:tab w:val="right" w:pos="9360"/>
      </w:tabs>
      <w:spacing w:line="240" w:lineRule="auto"/>
    </w:pPr>
    <w:rPr>
      <w:rFonts w:ascii="Times New Roman" w:eastAsia="Arial Unicode MS" w:hAnsi="Times New Roman" w:cs="Mangal"/>
      <w:sz w:val="24"/>
      <w:szCs w:val="21"/>
      <w:lang w:val="en-SG"/>
    </w:rPr>
  </w:style>
  <w:style w:type="character" w:customStyle="1" w:styleId="HeaderChar">
    <w:name w:val="Header Char"/>
    <w:basedOn w:val="DefaultParagraphFont"/>
    <w:link w:val="Header"/>
    <w:uiPriority w:val="99"/>
    <w:rsid w:val="003812DA"/>
    <w:rPr>
      <w:rFonts w:ascii="Times New Roman" w:eastAsia="Arial Unicode MS" w:hAnsi="Times New Roman" w:cs="Mangal"/>
      <w:sz w:val="24"/>
      <w:szCs w:val="21"/>
      <w:lang w:val="en-SG"/>
    </w:rPr>
  </w:style>
  <w:style w:type="paragraph" w:styleId="Footer">
    <w:name w:val="footer"/>
    <w:basedOn w:val="Normal"/>
    <w:link w:val="FooterChar"/>
    <w:uiPriority w:val="99"/>
    <w:unhideWhenUsed/>
    <w:rsid w:val="003812DA"/>
    <w:pPr>
      <w:widowControl w:val="0"/>
      <w:tabs>
        <w:tab w:val="center" w:pos="4680"/>
        <w:tab w:val="right" w:pos="9360"/>
      </w:tabs>
      <w:spacing w:line="240" w:lineRule="auto"/>
    </w:pPr>
    <w:rPr>
      <w:rFonts w:ascii="Times New Roman" w:eastAsia="Arial Unicode MS" w:hAnsi="Times New Roman" w:cs="Mangal"/>
      <w:sz w:val="24"/>
      <w:szCs w:val="21"/>
      <w:lang w:val="en-SG"/>
    </w:rPr>
  </w:style>
  <w:style w:type="character" w:customStyle="1" w:styleId="FooterChar">
    <w:name w:val="Footer Char"/>
    <w:basedOn w:val="DefaultParagraphFont"/>
    <w:link w:val="Footer"/>
    <w:uiPriority w:val="99"/>
    <w:rsid w:val="003812DA"/>
    <w:rPr>
      <w:rFonts w:ascii="Times New Roman" w:eastAsia="Arial Unicode MS" w:hAnsi="Times New Roman" w:cs="Mangal"/>
      <w:sz w:val="24"/>
      <w:szCs w:val="21"/>
      <w:lang w:val="en-SG"/>
    </w:rPr>
  </w:style>
  <w:style w:type="paragraph" w:styleId="Revision">
    <w:name w:val="Revision"/>
    <w:hidden/>
    <w:uiPriority w:val="99"/>
    <w:semiHidden/>
    <w:rsid w:val="003812DA"/>
    <w:pPr>
      <w:widowControl/>
      <w:suppressAutoHyphens w:val="0"/>
      <w:autoSpaceDN/>
      <w:spacing w:line="240" w:lineRule="auto"/>
      <w:textAlignment w:val="auto"/>
    </w:pPr>
    <w:rPr>
      <w:rFonts w:ascii="Times New Roman" w:eastAsia="Arial Unicode MS" w:hAnsi="Times New Roman" w:cs="Mangal"/>
      <w:sz w:val="24"/>
      <w:szCs w:val="21"/>
      <w:lang w:val="en-SG"/>
    </w:rPr>
  </w:style>
  <w:style w:type="paragraph" w:styleId="FootnoteText">
    <w:name w:val="footnote text"/>
    <w:basedOn w:val="Normal"/>
    <w:link w:val="FootnoteTextChar"/>
    <w:uiPriority w:val="99"/>
    <w:unhideWhenUsed/>
    <w:qFormat/>
    <w:rsid w:val="003812DA"/>
    <w:pPr>
      <w:spacing w:line="240" w:lineRule="auto"/>
    </w:pPr>
    <w:rPr>
      <w:rFonts w:cs="Mangal"/>
      <w:kern w:val="0"/>
      <w:sz w:val="20"/>
      <w:szCs w:val="18"/>
      <w:lang w:val="en-SG"/>
    </w:rPr>
  </w:style>
  <w:style w:type="character" w:customStyle="1" w:styleId="FootnoteTextChar">
    <w:name w:val="Footnote Text Char"/>
    <w:basedOn w:val="DefaultParagraphFont"/>
    <w:link w:val="FootnoteText"/>
    <w:uiPriority w:val="99"/>
    <w:rsid w:val="003812DA"/>
    <w:rPr>
      <w:rFonts w:cs="Mangal"/>
      <w:kern w:val="0"/>
      <w:sz w:val="20"/>
      <w:szCs w:val="1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56664">
      <w:bodyDiv w:val="1"/>
      <w:marLeft w:val="0"/>
      <w:marRight w:val="0"/>
      <w:marTop w:val="0"/>
      <w:marBottom w:val="0"/>
      <w:divBdr>
        <w:top w:val="none" w:sz="0" w:space="0" w:color="auto"/>
        <w:left w:val="none" w:sz="0" w:space="0" w:color="auto"/>
        <w:bottom w:val="none" w:sz="0" w:space="0" w:color="auto"/>
        <w:right w:val="none" w:sz="0" w:space="0" w:color="auto"/>
      </w:divBdr>
      <w:divsChild>
        <w:div w:id="15616951">
          <w:marLeft w:val="0"/>
          <w:marRight w:val="0"/>
          <w:marTop w:val="0"/>
          <w:marBottom w:val="0"/>
          <w:divBdr>
            <w:top w:val="none" w:sz="0" w:space="0" w:color="auto"/>
            <w:left w:val="none" w:sz="0" w:space="0" w:color="auto"/>
            <w:bottom w:val="none" w:sz="0" w:space="0" w:color="auto"/>
            <w:right w:val="none" w:sz="0" w:space="0" w:color="auto"/>
          </w:divBdr>
          <w:divsChild>
            <w:div w:id="265625916">
              <w:marLeft w:val="0"/>
              <w:marRight w:val="0"/>
              <w:marTop w:val="0"/>
              <w:marBottom w:val="0"/>
              <w:divBdr>
                <w:top w:val="none" w:sz="0" w:space="0" w:color="auto"/>
                <w:left w:val="none" w:sz="0" w:space="0" w:color="auto"/>
                <w:bottom w:val="none" w:sz="0" w:space="0" w:color="auto"/>
                <w:right w:val="none" w:sz="0" w:space="0" w:color="auto"/>
              </w:divBdr>
              <w:divsChild>
                <w:div w:id="11325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Faraaz Amzar MD FAROOK (SUPCOURT)</dc:creator>
  <cp:lastModifiedBy>OEI</cp:lastModifiedBy>
  <cp:revision>3</cp:revision>
  <dcterms:created xsi:type="dcterms:W3CDTF">2020-02-28T07:43:00Z</dcterms:created>
  <dcterms:modified xsi:type="dcterms:W3CDTF">2020-02-28T07:43:00Z</dcterms:modified>
</cp:coreProperties>
</file>